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BE012" w14:textId="6755CBC6" w:rsidR="006E40C8" w:rsidRDefault="006E40C8" w:rsidP="006E40C8">
      <w:pPr>
        <w:pStyle w:val="Heading1"/>
        <w:jc w:val="both"/>
        <w:rPr>
          <w:b/>
          <w:bCs/>
          <w:color w:val="00B050"/>
          <w:lang w:val="en-GB"/>
        </w:rPr>
      </w:pPr>
      <w:bookmarkStart w:id="0" w:name="_Toc535554980"/>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Start w:id="1" w:name="_GoBack"/>
      <w:bookmarkEnd w:id="0"/>
      <w:bookmarkEnd w:id="1"/>
    </w:p>
    <w:p w14:paraId="3D4FEF13" w14:textId="77777777" w:rsidR="006E40C8" w:rsidRPr="00614496" w:rsidRDefault="006E40C8" w:rsidP="006E40C8">
      <w:pPr>
        <w:rPr>
          <w:lang w:val="en-GB"/>
        </w:rPr>
      </w:pPr>
    </w:p>
    <w:p w14:paraId="3E939241" w14:textId="6449FACB" w:rsidR="006E40C8" w:rsidRPr="00614496" w:rsidRDefault="006E40C8" w:rsidP="00A3515A">
      <w:pPr>
        <w:tabs>
          <w:tab w:val="right" w:pos="8842"/>
        </w:tabs>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Cluster annual report - 201</w:t>
      </w:r>
      <w:r w:rsidR="00B92662">
        <w:rPr>
          <w:rFonts w:asciiTheme="majorHAnsi" w:hAnsiTheme="majorHAnsi" w:cs="Arial"/>
          <w:b/>
          <w:noProof/>
          <w:color w:val="BFBFBF" w:themeColor="background1" w:themeShade="BF"/>
          <w:sz w:val="44"/>
          <w:szCs w:val="50"/>
        </w:rPr>
        <w:t>9</w:t>
      </w:r>
      <w:r w:rsidR="00A3515A">
        <w:rPr>
          <w:rFonts w:asciiTheme="majorHAnsi" w:hAnsiTheme="majorHAnsi" w:cs="Arial"/>
          <w:b/>
          <w:noProof/>
          <w:color w:val="BFBFBF" w:themeColor="background1" w:themeShade="BF"/>
          <w:sz w:val="44"/>
          <w:szCs w:val="50"/>
        </w:rPr>
        <w:tab/>
      </w:r>
    </w:p>
    <w:p w14:paraId="3E5EA619" w14:textId="5564B7A5" w:rsidR="006E40C8" w:rsidRPr="004E2367" w:rsidRDefault="004E2367" w:rsidP="006E40C8">
      <w:pPr>
        <w:rPr>
          <w:rFonts w:asciiTheme="majorHAnsi" w:hAnsiTheme="majorHAnsi" w:cs="Arial"/>
          <w:b/>
          <w:noProof/>
          <w:color w:val="BFBFBF" w:themeColor="background1" w:themeShade="BF"/>
          <w:sz w:val="40"/>
          <w:szCs w:val="40"/>
        </w:rPr>
      </w:pPr>
      <w:r>
        <w:rPr>
          <w:rFonts w:asciiTheme="majorHAnsi" w:hAnsiTheme="majorHAnsi" w:cs="Arial"/>
          <w:b/>
          <w:noProof/>
          <w:color w:val="BFBFBF" w:themeColor="background1" w:themeShade="BF"/>
          <w:sz w:val="44"/>
          <w:szCs w:val="50"/>
        </w:rPr>
        <w:t>3</w:t>
      </w:r>
      <w:r w:rsidRPr="004E2367">
        <w:rPr>
          <w:rFonts w:asciiTheme="majorHAnsi" w:hAnsiTheme="majorHAnsi" w:cs="Arial"/>
          <w:b/>
          <w:noProof/>
          <w:color w:val="BFBFBF" w:themeColor="background1" w:themeShade="BF"/>
          <w:sz w:val="40"/>
          <w:szCs w:val="40"/>
        </w:rPr>
        <w:t>.3</w:t>
      </w:r>
      <w:r w:rsidR="006E40C8" w:rsidRPr="004E2367">
        <w:rPr>
          <w:rFonts w:asciiTheme="majorHAnsi" w:hAnsiTheme="majorHAnsi" w:cs="Arial"/>
          <w:b/>
          <w:noProof/>
          <w:color w:val="BFBFBF" w:themeColor="background1" w:themeShade="BF"/>
          <w:sz w:val="40"/>
          <w:szCs w:val="40"/>
        </w:rPr>
        <w:t xml:space="preserve"> – </w:t>
      </w:r>
      <w:r w:rsidRPr="004E2367">
        <w:rPr>
          <w:rFonts w:asciiTheme="majorHAnsi" w:hAnsiTheme="majorHAnsi" w:cs="Arial"/>
          <w:b/>
          <w:noProof/>
          <w:color w:val="BFBFBF" w:themeColor="background1" w:themeShade="BF"/>
          <w:sz w:val="40"/>
          <w:szCs w:val="40"/>
        </w:rPr>
        <w:t>Integrated Farm and Household Management</w:t>
      </w:r>
    </w:p>
    <w:p w14:paraId="5016E8CB" w14:textId="77777777" w:rsidR="006E40C8" w:rsidRDefault="006E40C8" w:rsidP="006E40C8">
      <w:r>
        <w:t xml:space="preserve"> </w:t>
      </w:r>
    </w:p>
    <w:p w14:paraId="67B38DB9" w14:textId="74DFB5A0" w:rsidR="00714E51" w:rsidRPr="00714E51" w:rsidRDefault="006E40C8" w:rsidP="00714E51">
      <w:pPr>
        <w:rPr>
          <w:sz w:val="20"/>
          <w:szCs w:val="20"/>
        </w:rPr>
      </w:pPr>
      <w:r>
        <w:t>Authors</w:t>
      </w:r>
      <w:r w:rsidR="00714E51">
        <w:t xml:space="preserve">: </w:t>
      </w:r>
      <w:r w:rsidR="00714E51" w:rsidRPr="00714E51">
        <w:rPr>
          <w:b/>
        </w:rPr>
        <w:t>Shalander Kumar and Katrien Descheemaeker</w:t>
      </w:r>
      <w:r w:rsidR="00714E51">
        <w:t xml:space="preserve"> </w:t>
      </w:r>
      <w:r w:rsidR="00714E51" w:rsidRPr="00714E51">
        <w:rPr>
          <w:sz w:val="20"/>
          <w:szCs w:val="20"/>
        </w:rPr>
        <w:t>(with inputs from all activity leaders)</w:t>
      </w:r>
    </w:p>
    <w:p w14:paraId="01FFF348" w14:textId="77777777" w:rsidR="006E40C8" w:rsidRPr="00614496" w:rsidRDefault="006E40C8" w:rsidP="006E40C8">
      <w:pPr>
        <w:pStyle w:val="Heading1"/>
        <w:rPr>
          <w:color w:val="BFBFBF" w:themeColor="background1" w:themeShade="BF"/>
          <w:sz w:val="24"/>
        </w:rPr>
      </w:pPr>
      <w:bookmarkStart w:id="2" w:name="_Toc535553039"/>
      <w:bookmarkStart w:id="3" w:name="_Toc535554718"/>
      <w:bookmarkStart w:id="4" w:name="_Toc535554940"/>
      <w:bookmarkStart w:id="5" w:name="_Toc535554981"/>
      <w:r w:rsidRPr="00614496">
        <w:rPr>
          <w:color w:val="BFBFBF" w:themeColor="background1" w:themeShade="BF"/>
          <w:sz w:val="24"/>
        </w:rPr>
        <w:t>MAIN ACHIEVEMENTS</w:t>
      </w:r>
      <w:bookmarkEnd w:id="2"/>
      <w:bookmarkEnd w:id="3"/>
      <w:bookmarkEnd w:id="4"/>
      <w:bookmarkEnd w:id="5"/>
    </w:p>
    <w:p w14:paraId="5324D198" w14:textId="6478B561" w:rsidR="006E40C8" w:rsidRDefault="006E40C8" w:rsidP="006E40C8">
      <w:r>
        <w:t>This section provides a synthesis of main progress and achievements in implementing the annual Plan of Work. Fill this section considering the content of the GLDC POWB 201</w:t>
      </w:r>
      <w:r w:rsidR="00B92662">
        <w:t>9</w:t>
      </w:r>
      <w:r>
        <w:t xml:space="preserve"> (</w:t>
      </w:r>
      <w:hyperlink r:id="rId7" w:history="1">
        <w:r w:rsidRPr="00C71DE3">
          <w:rPr>
            <w:rStyle w:val="Hyperlink"/>
          </w:rPr>
          <w:t>http://crp-gldc.icrisat.org/GLDC_POWB-Final.pdf</w:t>
        </w:r>
      </w:hyperlink>
      <w:r>
        <w:t xml:space="preserve"> ). In particular, review the list Outputs (Annex 1) and complete the missing information in MEL. Output related information is essential to inform indicators on Number of innovation and Milestones achievement. </w:t>
      </w:r>
    </w:p>
    <w:p w14:paraId="46899627" w14:textId="77777777" w:rsidR="006E40C8" w:rsidRDefault="006E40C8" w:rsidP="006E40C8">
      <w:r>
        <w:t>Use the two sections below to highlight key findings with gender, youth, capacity development and climate change relevance.</w:t>
      </w:r>
    </w:p>
    <w:p w14:paraId="27523029" w14:textId="58B43FE9" w:rsidR="006E40C8" w:rsidRDefault="006E40C8" w:rsidP="006E40C8">
      <w:r>
        <w:t>MAX 1500 characters</w:t>
      </w:r>
    </w:p>
    <w:p w14:paraId="4F328FC5" w14:textId="77777777" w:rsidR="00B7383F" w:rsidRPr="00363683" w:rsidRDefault="00B7383F" w:rsidP="00B7383F">
      <w:pPr>
        <w:autoSpaceDE w:val="0"/>
        <w:autoSpaceDN w:val="0"/>
        <w:adjustRightInd w:val="0"/>
        <w:rPr>
          <w:rFonts w:asciiTheme="minorHAnsi" w:hAnsiTheme="minorHAnsi" w:cstheme="minorHAnsi"/>
          <w:b/>
          <w:bCs/>
          <w:sz w:val="22"/>
          <w:szCs w:val="22"/>
          <w:lang w:val="en-IN"/>
        </w:rPr>
      </w:pPr>
      <w:r w:rsidRPr="00363683">
        <w:rPr>
          <w:rFonts w:asciiTheme="minorHAnsi" w:hAnsiTheme="minorHAnsi" w:cstheme="minorHAnsi"/>
          <w:b/>
          <w:bCs/>
          <w:sz w:val="22"/>
          <w:szCs w:val="22"/>
          <w:lang w:val="en-IN"/>
        </w:rPr>
        <w:t xml:space="preserve">Assessment across scales and dimensions: </w:t>
      </w:r>
    </w:p>
    <w:p w14:paraId="11832A08" w14:textId="0A4DD94C" w:rsidR="00772697" w:rsidRPr="00DE3E81" w:rsidRDefault="007A372D" w:rsidP="00772697">
      <w:pPr>
        <w:pStyle w:val="ListParagraph"/>
        <w:numPr>
          <w:ilvl w:val="0"/>
          <w:numId w:val="8"/>
        </w:numPr>
        <w:ind w:left="284" w:hanging="284"/>
        <w:rPr>
          <w:rFonts w:asciiTheme="minorHAnsi" w:eastAsia="Times New Roman" w:hAnsiTheme="minorHAnsi" w:cstheme="minorHAnsi"/>
          <w:sz w:val="24"/>
          <w:szCs w:val="24"/>
        </w:rPr>
      </w:pPr>
      <w:r w:rsidRPr="00363683">
        <w:rPr>
          <w:rFonts w:asciiTheme="minorHAnsi" w:eastAsia="Calibri" w:hAnsiTheme="minorHAnsi" w:cstheme="minorBidi"/>
        </w:rPr>
        <w:t xml:space="preserve">A comprehensive framework for farming systems sustainability assessment </w:t>
      </w:r>
      <w:r w:rsidR="00F35D44" w:rsidRPr="00363683">
        <w:rPr>
          <w:rFonts w:asciiTheme="minorHAnsi" w:eastAsia="Calibri" w:hAnsiTheme="minorHAnsi" w:cstheme="minorBidi"/>
        </w:rPr>
        <w:t xml:space="preserve">with </w:t>
      </w:r>
      <w:r w:rsidR="00714E51" w:rsidRPr="00363683">
        <w:rPr>
          <w:rFonts w:asciiTheme="minorHAnsi" w:eastAsia="Calibri" w:hAnsiTheme="minorHAnsi" w:cstheme="minorBidi"/>
        </w:rPr>
        <w:t>five domain</w:t>
      </w:r>
      <w:r w:rsidR="00F35D44" w:rsidRPr="00363683">
        <w:rPr>
          <w:rFonts w:asciiTheme="minorHAnsi" w:eastAsia="Calibri" w:hAnsiTheme="minorHAnsi" w:cstheme="minorBidi"/>
        </w:rPr>
        <w:t>s</w:t>
      </w:r>
      <w:r w:rsidR="00714E51" w:rsidRPr="00363683">
        <w:rPr>
          <w:rFonts w:asciiTheme="minorHAnsi" w:eastAsia="Calibri" w:hAnsiTheme="minorHAnsi" w:cstheme="minorBidi"/>
        </w:rPr>
        <w:t xml:space="preserve"> and 115 indicators was developed and </w:t>
      </w:r>
      <w:r w:rsidR="00BD66E3">
        <w:rPr>
          <w:rFonts w:asciiTheme="minorHAnsi" w:eastAsia="Calibri" w:hAnsiTheme="minorHAnsi" w:cstheme="minorBidi"/>
        </w:rPr>
        <w:t>implemented/</w:t>
      </w:r>
      <w:r w:rsidR="00714E51" w:rsidRPr="00363683">
        <w:rPr>
          <w:rFonts w:asciiTheme="minorHAnsi" w:eastAsia="Calibri" w:hAnsiTheme="minorHAnsi" w:cstheme="minorBidi"/>
        </w:rPr>
        <w:t xml:space="preserve">validated </w:t>
      </w:r>
      <w:r w:rsidRPr="00363683">
        <w:rPr>
          <w:rFonts w:asciiTheme="minorHAnsi" w:eastAsia="Calibri" w:hAnsiTheme="minorHAnsi" w:cstheme="minorBidi"/>
        </w:rPr>
        <w:t xml:space="preserve">in one location in India (Nalgonda) for </w:t>
      </w:r>
      <w:r w:rsidR="00C357F7" w:rsidRPr="00363683">
        <w:rPr>
          <w:rFonts w:asciiTheme="minorHAnsi" w:eastAsia="Calibri" w:hAnsiTheme="minorHAnsi" w:cstheme="minorBidi"/>
        </w:rPr>
        <w:t xml:space="preserve">different functional farm types. Two Masters students one from India and one from SLU were trained on sustainability assessment and submitted their thesis.  A good progress has been made </w:t>
      </w:r>
      <w:r w:rsidRPr="00363683">
        <w:rPr>
          <w:rFonts w:asciiTheme="minorHAnsi" w:eastAsia="Calibri" w:hAnsiTheme="minorHAnsi" w:cstheme="minorBidi"/>
        </w:rPr>
        <w:t xml:space="preserve">on </w:t>
      </w:r>
      <w:r w:rsidR="00C357F7" w:rsidRPr="00363683">
        <w:rPr>
          <w:rFonts w:asciiTheme="minorHAnsi" w:eastAsia="Calibri" w:hAnsiTheme="minorHAnsi" w:cstheme="minorBidi"/>
        </w:rPr>
        <w:t xml:space="preserve">the </w:t>
      </w:r>
      <w:r w:rsidRPr="00363683">
        <w:rPr>
          <w:rFonts w:asciiTheme="minorHAnsi" w:eastAsia="Calibri" w:hAnsiTheme="minorHAnsi" w:cstheme="minorBidi"/>
        </w:rPr>
        <w:t xml:space="preserve">development of online </w:t>
      </w:r>
      <w:r w:rsidR="00C357F7" w:rsidRPr="00363683">
        <w:rPr>
          <w:rFonts w:asciiTheme="minorHAnsi" w:eastAsia="Calibri" w:hAnsiTheme="minorHAnsi" w:cstheme="minorBidi"/>
        </w:rPr>
        <w:t xml:space="preserve">open access </w:t>
      </w:r>
      <w:r w:rsidRPr="00363683">
        <w:rPr>
          <w:rFonts w:asciiTheme="minorHAnsi" w:eastAsia="Calibri" w:hAnsiTheme="minorHAnsi" w:cstheme="minorBidi"/>
        </w:rPr>
        <w:t xml:space="preserve">tool for </w:t>
      </w:r>
      <w:r w:rsidR="00C357F7" w:rsidRPr="00363683">
        <w:rPr>
          <w:rFonts w:asciiTheme="minorHAnsi" w:eastAsia="Calibri" w:hAnsiTheme="minorHAnsi" w:cstheme="minorBidi"/>
        </w:rPr>
        <w:t xml:space="preserve">farming system </w:t>
      </w:r>
      <w:r w:rsidRPr="00363683">
        <w:rPr>
          <w:rFonts w:asciiTheme="minorHAnsi" w:eastAsia="Calibri" w:hAnsiTheme="minorHAnsi" w:cstheme="minorBidi"/>
        </w:rPr>
        <w:t>sustainability assessment</w:t>
      </w:r>
      <w:r w:rsidR="00F35D44" w:rsidRPr="00DE3E81">
        <w:rPr>
          <w:rFonts w:asciiTheme="minorHAnsi" w:hAnsiTheme="minorHAnsi" w:cstheme="minorHAnsi"/>
        </w:rPr>
        <w:t>.</w:t>
      </w:r>
      <w:r w:rsidR="00772697" w:rsidRPr="00DE3E81">
        <w:rPr>
          <w:rFonts w:asciiTheme="minorHAnsi" w:hAnsiTheme="minorHAnsi" w:cstheme="minorHAnsi"/>
        </w:rPr>
        <w:t xml:space="preserve"> </w:t>
      </w:r>
      <w:hyperlink r:id="rId8" w:history="1">
        <w:r w:rsidR="00772697" w:rsidRPr="00DE3E81">
          <w:rPr>
            <w:rStyle w:val="Hyperlink"/>
            <w:rFonts w:asciiTheme="minorHAnsi" w:eastAsia="Times New Roman" w:hAnsiTheme="minorHAnsi" w:cstheme="minorHAnsi"/>
            <w:sz w:val="24"/>
            <w:szCs w:val="24"/>
          </w:rPr>
          <w:t>http://oar.icrisat.org/11246/</w:t>
        </w:r>
      </w:hyperlink>
    </w:p>
    <w:p w14:paraId="32A89F81" w14:textId="77777777" w:rsidR="00772697" w:rsidRPr="00772697" w:rsidRDefault="007F04C1" w:rsidP="00772697">
      <w:pPr>
        <w:pStyle w:val="ListParagraph"/>
        <w:numPr>
          <w:ilvl w:val="0"/>
          <w:numId w:val="8"/>
        </w:numPr>
        <w:ind w:left="284" w:hanging="284"/>
        <w:rPr>
          <w:rStyle w:val="Hyperlink"/>
          <w:rFonts w:ascii="Times New Roman" w:eastAsia="Times New Roman" w:hAnsi="Times New Roman" w:cs="Times New Roman"/>
          <w:color w:val="auto"/>
          <w:sz w:val="24"/>
          <w:szCs w:val="24"/>
          <w:u w:val="none"/>
        </w:rPr>
      </w:pPr>
      <w:r w:rsidRPr="00363683">
        <w:rPr>
          <w:rFonts w:asciiTheme="minorHAnsi" w:eastAsia="Calibri" w:hAnsiTheme="minorHAnsi" w:cstheme="minorBidi"/>
        </w:rPr>
        <w:t>A multi-dimensional scenario analysis was undertaken to explore the near-future effects of different scenarios of agriculture, value chain and policy developments in the economic, productivity, environmental and food security dimensions of SI in southern Mali</w:t>
      </w:r>
      <w:r w:rsidR="00772697">
        <w:t xml:space="preserve"> </w:t>
      </w:r>
      <w:hyperlink r:id="rId9" w:history="1">
        <w:r w:rsidR="00772697" w:rsidRPr="00256A57">
          <w:rPr>
            <w:rStyle w:val="Hyperlink"/>
          </w:rPr>
          <w:t>https://bscmsc.pps.wur.nl/assessment-potential-future-sustain-ability-smallholder-farming-old-cotton-basin-mali</w:t>
        </w:r>
      </w:hyperlink>
    </w:p>
    <w:p w14:paraId="7531B0B3" w14:textId="77777777" w:rsidR="00772697" w:rsidRPr="00363683" w:rsidRDefault="00F35D44" w:rsidP="00772697">
      <w:pPr>
        <w:pStyle w:val="ListParagraph"/>
        <w:numPr>
          <w:ilvl w:val="0"/>
          <w:numId w:val="8"/>
        </w:numPr>
        <w:ind w:left="284" w:hanging="284"/>
        <w:rPr>
          <w:rFonts w:asciiTheme="minorHAnsi" w:eastAsia="Calibri" w:hAnsiTheme="minorHAnsi" w:cstheme="minorBidi"/>
        </w:rPr>
      </w:pPr>
      <w:r w:rsidRPr="00363683">
        <w:rPr>
          <w:rFonts w:asciiTheme="minorHAnsi" w:eastAsia="Calibri" w:hAnsiTheme="minorHAnsi" w:cstheme="minorBidi"/>
        </w:rPr>
        <w:t>A remote sensing based model has been calibrated for millet yield estimated allowing to account for parkland effects (R²=0.70) using data from 2017 and 2018 for Senegal.</w:t>
      </w:r>
    </w:p>
    <w:p w14:paraId="5320B4BF" w14:textId="0E100570" w:rsidR="00714E51" w:rsidRPr="00363683" w:rsidRDefault="00772697" w:rsidP="00772697">
      <w:pPr>
        <w:pStyle w:val="ListParagraph"/>
        <w:numPr>
          <w:ilvl w:val="0"/>
          <w:numId w:val="8"/>
        </w:numPr>
        <w:ind w:left="284" w:hanging="284"/>
        <w:rPr>
          <w:rFonts w:asciiTheme="minorHAnsi" w:eastAsia="Calibri" w:hAnsiTheme="minorHAnsi" w:cstheme="minorBidi"/>
        </w:rPr>
      </w:pPr>
      <w:r w:rsidRPr="00363683">
        <w:rPr>
          <w:rFonts w:asciiTheme="minorHAnsi" w:eastAsia="Calibri" w:hAnsiTheme="minorHAnsi" w:cstheme="minorBidi"/>
        </w:rPr>
        <w:t xml:space="preserve">Useful information generated </w:t>
      </w:r>
      <w:r w:rsidR="004B74B1" w:rsidRPr="00363683">
        <w:rPr>
          <w:rFonts w:asciiTheme="minorHAnsi" w:eastAsia="Calibri" w:hAnsiTheme="minorHAnsi" w:cstheme="minorBidi"/>
        </w:rPr>
        <w:t>on i</w:t>
      </w:r>
      <w:r w:rsidR="00714E51" w:rsidRPr="00363683">
        <w:rPr>
          <w:rFonts w:asciiTheme="minorHAnsi" w:eastAsia="Calibri" w:hAnsiTheme="minorHAnsi" w:cstheme="minorBidi"/>
        </w:rPr>
        <w:t>mpact of abiotic stresses assessed for millet-sorghum based farming systems in Burkina Faso, Mali and Niger. Biotic stresses assessed for lentil and chickpea. Farmers’ coping strategies documented for both biotic and abiotic stresses.</w:t>
      </w:r>
    </w:p>
    <w:p w14:paraId="5D1863A0" w14:textId="77777777" w:rsidR="00B7383F" w:rsidRDefault="00B7383F" w:rsidP="00B7383F">
      <w:pPr>
        <w:pStyle w:val="NoSpacing"/>
        <w:spacing w:line="252" w:lineRule="auto"/>
        <w:rPr>
          <w:b/>
          <w:bCs/>
          <w:lang w:val="en-IN"/>
        </w:rPr>
      </w:pPr>
    </w:p>
    <w:p w14:paraId="08A2DFB1" w14:textId="53436F79" w:rsidR="00B7383F" w:rsidRDefault="00B7383F" w:rsidP="00B7383F">
      <w:pPr>
        <w:pStyle w:val="NoSpacing"/>
        <w:spacing w:line="252" w:lineRule="auto"/>
        <w:rPr>
          <w:b/>
          <w:bCs/>
          <w:lang w:val="en-IN"/>
        </w:rPr>
      </w:pPr>
      <w:r w:rsidRPr="00FB0D2A">
        <w:rPr>
          <w:b/>
          <w:bCs/>
          <w:lang w:val="en-IN"/>
        </w:rPr>
        <w:t>Evaluating trade-offs and co-designing</w:t>
      </w:r>
      <w:r>
        <w:rPr>
          <w:b/>
          <w:bCs/>
          <w:lang w:val="en-IN"/>
        </w:rPr>
        <w:t xml:space="preserve"> </w:t>
      </w:r>
      <w:r w:rsidRPr="00FB0D2A">
        <w:rPr>
          <w:b/>
          <w:bCs/>
          <w:lang w:val="en-IN"/>
        </w:rPr>
        <w:t>farming systems for</w:t>
      </w:r>
      <w:r>
        <w:rPr>
          <w:b/>
          <w:bCs/>
          <w:lang w:val="en-IN"/>
        </w:rPr>
        <w:t xml:space="preserve"> </w:t>
      </w:r>
      <w:r w:rsidRPr="00FB0D2A">
        <w:rPr>
          <w:b/>
          <w:bCs/>
          <w:lang w:val="en-IN"/>
        </w:rPr>
        <w:t>enhanced resilience and income</w:t>
      </w:r>
      <w:r>
        <w:rPr>
          <w:b/>
          <w:bCs/>
          <w:lang w:val="en-IN"/>
        </w:rPr>
        <w:t>:</w:t>
      </w:r>
    </w:p>
    <w:p w14:paraId="5CBAB45A" w14:textId="29C27EA1" w:rsidR="004B74B1" w:rsidRPr="00B838DF" w:rsidRDefault="005942F8" w:rsidP="004B74B1">
      <w:pPr>
        <w:pStyle w:val="NoSpacing"/>
        <w:numPr>
          <w:ilvl w:val="0"/>
          <w:numId w:val="2"/>
        </w:numPr>
        <w:ind w:left="285" w:hanging="270"/>
      </w:pPr>
      <w:r>
        <w:rPr>
          <w:rFonts w:eastAsia="Calibri"/>
        </w:rPr>
        <w:t>Harnessed multiple data sources for</w:t>
      </w:r>
      <w:r w:rsidR="00C33E70" w:rsidRPr="00C33E70">
        <w:rPr>
          <w:rFonts w:eastAsia="Calibri"/>
        </w:rPr>
        <w:t xml:space="preserve"> integration of analytical methods and modelling to develop spatially and temporally targeted agronomic packages, recommendations for crop traits and interventions considering climate risk.  Across </w:t>
      </w:r>
      <w:r>
        <w:rPr>
          <w:rFonts w:eastAsia="Calibri"/>
        </w:rPr>
        <w:t>SA and SSA</w:t>
      </w:r>
      <w:r w:rsidR="00C33E70" w:rsidRPr="00C33E70">
        <w:rPr>
          <w:rFonts w:eastAsia="Calibri"/>
        </w:rPr>
        <w:t xml:space="preserve">, new methodologies for combining and applying of data collected at scales of plot, farm, watershed to region were developed, for example bias correction of satellite derived weather parameters (e.g. CHIRPS) using measured station </w:t>
      </w:r>
      <w:r w:rsidRPr="00C33E70">
        <w:rPr>
          <w:rFonts w:eastAsia="Calibri"/>
        </w:rPr>
        <w:t>data; derivation</w:t>
      </w:r>
      <w:r w:rsidR="00C33E70" w:rsidRPr="00C33E70">
        <w:rPr>
          <w:rFonts w:eastAsia="Calibri"/>
        </w:rPr>
        <w:t xml:space="preserve"> of soil parameterization for plot level simulation from landscape datasets (e.g. </w:t>
      </w:r>
      <w:proofErr w:type="spellStart"/>
      <w:r w:rsidR="00C33E70" w:rsidRPr="00C33E70">
        <w:rPr>
          <w:rFonts w:eastAsia="Calibri"/>
        </w:rPr>
        <w:t>Afsis</w:t>
      </w:r>
      <w:proofErr w:type="spellEnd"/>
      <w:r w:rsidR="00C33E70" w:rsidRPr="00C33E70">
        <w:rPr>
          <w:rFonts w:eastAsia="Calibri"/>
        </w:rPr>
        <w:t xml:space="preserve">); on-farm yields from farmer plots, trials, crop cutting, remote sensing.  The central integrator has been to use of crop-soil-climate models to integrate these data sources with spatial and temporal variation being simulated to produce maps of crop </w:t>
      </w:r>
      <w:r w:rsidR="00C33E70" w:rsidRPr="00B838DF">
        <w:t>performance. These outputs are being used to enable breeders to target crop traits and design product profiles, enable agronomists and extension to develop agronomic packages for sustainable intensification considering climate, soils and sustainability.</w:t>
      </w:r>
    </w:p>
    <w:p w14:paraId="1DFBA41A" w14:textId="1F8F6FA4" w:rsidR="004B74B1" w:rsidRPr="00B838DF" w:rsidRDefault="004B74B1" w:rsidP="004B74B1">
      <w:pPr>
        <w:pStyle w:val="NoSpacing"/>
        <w:numPr>
          <w:ilvl w:val="0"/>
          <w:numId w:val="2"/>
        </w:numPr>
        <w:ind w:left="285" w:hanging="270"/>
      </w:pPr>
      <w:r w:rsidRPr="00B838DF">
        <w:lastRenderedPageBreak/>
        <w:t>A</w:t>
      </w:r>
      <w:r w:rsidR="00EA02F9" w:rsidRPr="00B838DF">
        <w:t xml:space="preserve"> large farmer</w:t>
      </w:r>
      <w:r w:rsidRPr="00B838DF">
        <w:t>s</w:t>
      </w:r>
      <w:r w:rsidR="00EA02F9" w:rsidRPr="00B838DF">
        <w:t xml:space="preserve"> field survey assess</w:t>
      </w:r>
      <w:r w:rsidRPr="00B838DF">
        <w:t>ing</w:t>
      </w:r>
      <w:r w:rsidR="00EA02F9" w:rsidRPr="00B838DF">
        <w:t xml:space="preserve"> the effect of trees at a micro-landscape scale (up to 250 m radius buffer) on the natural regulation of the millet head miner (MHM)</w:t>
      </w:r>
      <w:r w:rsidRPr="00B838DF">
        <w:t xml:space="preserve"> </w:t>
      </w:r>
      <w:r w:rsidR="00EA02F9" w:rsidRPr="00B838DF">
        <w:t xml:space="preserve">identified interesting relationships between tree species and natural enemy communities, including predatory arthropods, parasitoids and vertebrates such as insectivorous birds and bats. </w:t>
      </w:r>
      <w:r w:rsidRPr="00B838DF">
        <w:t>This</w:t>
      </w:r>
      <w:r w:rsidR="00EA02F9" w:rsidRPr="00B838DF">
        <w:t xml:space="preserve"> bring</w:t>
      </w:r>
      <w:r w:rsidRPr="00B838DF">
        <w:t>s</w:t>
      </w:r>
      <w:r w:rsidR="00EA02F9" w:rsidRPr="00B838DF">
        <w:t xml:space="preserve"> novel insights for managing tree-crop agroforestry systems and related functional biodiversity </w:t>
      </w:r>
      <w:r w:rsidRPr="00B838DF">
        <w:t>for improving</w:t>
      </w:r>
      <w:r w:rsidR="00EA02F9" w:rsidRPr="00B838DF">
        <w:t xml:space="preserve"> resilience</w:t>
      </w:r>
      <w:r w:rsidRPr="00B838DF">
        <w:t xml:space="preserve"> of agroecosystems in the Sahel</w:t>
      </w:r>
      <w:r w:rsidR="00EA02F9" w:rsidRPr="00B838DF">
        <w:t>.</w:t>
      </w:r>
    </w:p>
    <w:p w14:paraId="006F3DE0" w14:textId="62584B34" w:rsidR="00EA02F9" w:rsidRPr="00B838DF" w:rsidRDefault="00F700C2" w:rsidP="00F700C2">
      <w:pPr>
        <w:pStyle w:val="NoSpacing"/>
        <w:numPr>
          <w:ilvl w:val="0"/>
          <w:numId w:val="2"/>
        </w:numPr>
        <w:ind w:left="285" w:hanging="270"/>
      </w:pPr>
      <w:r w:rsidRPr="00B838DF">
        <w:t xml:space="preserve">Multi-location trials for designing suitable cropping systems for </w:t>
      </w:r>
      <w:r w:rsidR="0086478C" w:rsidRPr="00B838DF">
        <w:t xml:space="preserve">increased </w:t>
      </w:r>
      <w:r w:rsidRPr="00B838DF">
        <w:t xml:space="preserve">resilience and nutrition considering 14 GLDC crop varieties (4 </w:t>
      </w:r>
      <w:r w:rsidR="004B74B1" w:rsidRPr="00B838DF">
        <w:t>sorghums</w:t>
      </w:r>
      <w:r w:rsidRPr="00B838DF">
        <w:t xml:space="preserve">, 4 </w:t>
      </w:r>
      <w:r w:rsidR="004B74B1" w:rsidRPr="00B838DF">
        <w:t>millets</w:t>
      </w:r>
      <w:r w:rsidRPr="00B838DF">
        <w:t xml:space="preserve">, 2 </w:t>
      </w:r>
      <w:r w:rsidR="004B74B1" w:rsidRPr="00B838DF">
        <w:t>peanuts</w:t>
      </w:r>
      <w:r w:rsidRPr="00B838DF">
        <w:t xml:space="preserve">, 4 cowpea) </w:t>
      </w:r>
      <w:r w:rsidR="007F04C1" w:rsidRPr="00B838DF">
        <w:t xml:space="preserve">and vegetable crops </w:t>
      </w:r>
      <w:r w:rsidRPr="00B838DF">
        <w:t xml:space="preserve">along with mineral fertilizer </w:t>
      </w:r>
      <w:r w:rsidR="007F04C1" w:rsidRPr="00B838DF">
        <w:t>assessed on</w:t>
      </w:r>
      <w:r w:rsidRPr="00B838DF">
        <w:t xml:space="preserve"> 160 farmers’ </w:t>
      </w:r>
      <w:r w:rsidR="004B74B1" w:rsidRPr="00B838DF">
        <w:t>field</w:t>
      </w:r>
      <w:r w:rsidRPr="00B838DF">
        <w:t xml:space="preserve"> in Mali (100), and Burkina Faso (60)</w:t>
      </w:r>
      <w:r w:rsidR="007F04C1" w:rsidRPr="00B838DF">
        <w:t xml:space="preserve"> have shown promising results</w:t>
      </w:r>
      <w:r w:rsidRPr="00B838DF">
        <w:t>.</w:t>
      </w:r>
      <w:r w:rsidR="007F04C1" w:rsidRPr="00B838DF">
        <w:t xml:space="preserve"> </w:t>
      </w:r>
    </w:p>
    <w:p w14:paraId="5EBB666E" w14:textId="7FDDA5CD" w:rsidR="00714E51" w:rsidRPr="00B838DF" w:rsidRDefault="004B74B1" w:rsidP="00B838DF">
      <w:pPr>
        <w:pStyle w:val="NoSpacing"/>
        <w:numPr>
          <w:ilvl w:val="0"/>
          <w:numId w:val="2"/>
        </w:numPr>
        <w:ind w:left="285" w:hanging="270"/>
      </w:pPr>
      <w:r>
        <w:t>Using the integrated</w:t>
      </w:r>
      <w:r w:rsidR="00714E51" w:rsidRPr="009D0A2E">
        <w:t xml:space="preserve"> systems modelling frameworks </w:t>
      </w:r>
      <w:r w:rsidR="003A7E98" w:rsidRPr="00B838DF">
        <w:t>and the</w:t>
      </w:r>
      <w:r w:rsidRPr="00B838DF">
        <w:t xml:space="preserve"> farm household (500 HHs) data from </w:t>
      </w:r>
      <w:r w:rsidR="003A7E98" w:rsidRPr="00B838DF">
        <w:t>9</w:t>
      </w:r>
      <w:r w:rsidRPr="00B838DF">
        <w:t xml:space="preserve"> districts, farm household typologies developed </w:t>
      </w:r>
      <w:r w:rsidR="003A7E98" w:rsidRPr="00B838DF">
        <w:t>and p</w:t>
      </w:r>
      <w:r w:rsidRPr="00B838DF">
        <w:t>arametrization completed and basic whole farm models were run suc</w:t>
      </w:r>
      <w:r w:rsidR="003A7E98" w:rsidRPr="00B838DF">
        <w:t>cessfully for 3 districts (</w:t>
      </w:r>
      <w:proofErr w:type="spellStart"/>
      <w:r w:rsidR="003A7E98" w:rsidRPr="00B838DF">
        <w:t>Tirupati</w:t>
      </w:r>
      <w:proofErr w:type="spellEnd"/>
      <w:r w:rsidRPr="00B838DF">
        <w:t xml:space="preserve">, Nalgonda, </w:t>
      </w:r>
      <w:proofErr w:type="spellStart"/>
      <w:r w:rsidRPr="00B838DF">
        <w:t>Nanded</w:t>
      </w:r>
      <w:proofErr w:type="spellEnd"/>
      <w:r w:rsidRPr="00B838DF">
        <w:t>)</w:t>
      </w:r>
      <w:r w:rsidR="00363683">
        <w:t xml:space="preserve"> in India and 2 regions in Niger</w:t>
      </w:r>
      <w:r w:rsidR="003A7E98" w:rsidRPr="00B838DF">
        <w:t xml:space="preserve"> </w:t>
      </w:r>
      <w:r w:rsidR="00714E51" w:rsidRPr="009D0A2E">
        <w:t xml:space="preserve">to support the upscaling of climate </w:t>
      </w:r>
      <w:r w:rsidR="00714E51">
        <w:t>resilient</w:t>
      </w:r>
      <w:r w:rsidR="003A7E98">
        <w:t xml:space="preserve"> agriculture in semi-arid </w:t>
      </w:r>
      <w:r w:rsidR="00363683">
        <w:t>regions</w:t>
      </w:r>
      <w:r w:rsidR="00714E51" w:rsidRPr="00B838DF">
        <w:t xml:space="preserve">. </w:t>
      </w:r>
      <w:r w:rsidR="003A7E98">
        <w:t>Capacity</w:t>
      </w:r>
      <w:r w:rsidR="00714E51">
        <w:t xml:space="preserve"> building of extension </w:t>
      </w:r>
      <w:r w:rsidR="003A7E98">
        <w:t>agencies</w:t>
      </w:r>
      <w:r w:rsidR="00714E51">
        <w:t xml:space="preserve"> on systems modelling tools</w:t>
      </w:r>
      <w:r w:rsidR="003A7E98">
        <w:t xml:space="preserve"> continued</w:t>
      </w:r>
      <w:r w:rsidR="00714E51">
        <w:t>.</w:t>
      </w:r>
      <w:r w:rsidR="00714E51" w:rsidRPr="00B838DF">
        <w:t xml:space="preserve"> </w:t>
      </w:r>
    </w:p>
    <w:p w14:paraId="0F88CDA4" w14:textId="68E8E3E7" w:rsidR="00714E51" w:rsidRPr="003A7E98" w:rsidRDefault="00714E51" w:rsidP="004B74B1">
      <w:pPr>
        <w:pStyle w:val="NoSpacing"/>
        <w:numPr>
          <w:ilvl w:val="0"/>
          <w:numId w:val="2"/>
        </w:numPr>
        <w:ind w:left="285" w:hanging="270"/>
        <w:rPr>
          <w:rStyle w:val="Hyperlink"/>
          <w:color w:val="auto"/>
          <w:u w:val="none"/>
        </w:rPr>
      </w:pPr>
      <w:r>
        <w:t xml:space="preserve">The cropping system modelling tools </w:t>
      </w:r>
      <w:r w:rsidR="004B74B1">
        <w:t xml:space="preserve">continued assessment </w:t>
      </w:r>
      <w:r>
        <w:t xml:space="preserve">to integrate them into the breeding programs as a decision making support tool on optimization of </w:t>
      </w:r>
      <w:proofErr w:type="spellStart"/>
      <w:r>
        <w:t>GxExM</w:t>
      </w:r>
      <w:proofErr w:type="spellEnd"/>
      <w:r>
        <w:t xml:space="preserve"> for target population of environments. Within this activity we focused on a case-study of sorghum crop improvement program of ICRISAT-IIMR, Hyderabad</w:t>
      </w:r>
      <w:r w:rsidR="004B74B1">
        <w:t xml:space="preserve"> </w:t>
      </w:r>
      <w:hyperlink r:id="rId10" w:history="1">
        <w:r w:rsidR="004B74B1" w:rsidRPr="00877162">
          <w:rPr>
            <w:rStyle w:val="Hyperlink"/>
          </w:rPr>
          <w:t>http://dx.doi.org/10.1071/FP13355</w:t>
        </w:r>
      </w:hyperlink>
      <w:r w:rsidR="004B74B1">
        <w:t xml:space="preserve">; </w:t>
      </w:r>
      <w:hyperlink r:id="rId11" w:history="1">
        <w:r w:rsidR="004B74B1">
          <w:rPr>
            <w:rStyle w:val="Hyperlink"/>
          </w:rPr>
          <w:t>https://maps.csita.cz/</w:t>
        </w:r>
      </w:hyperlink>
    </w:p>
    <w:p w14:paraId="7569DE6C" w14:textId="77777777" w:rsidR="00751995" w:rsidRPr="00751995" w:rsidRDefault="00B838DF" w:rsidP="00751995">
      <w:pPr>
        <w:pStyle w:val="ListParagraph"/>
        <w:numPr>
          <w:ilvl w:val="0"/>
          <w:numId w:val="2"/>
        </w:numPr>
        <w:ind w:left="285" w:hanging="270"/>
        <w:contextualSpacing/>
        <w:rPr>
          <w:rStyle w:val="Hyperlink"/>
          <w:color w:val="auto"/>
          <w:u w:val="none"/>
        </w:rPr>
      </w:pPr>
      <w:r w:rsidRPr="00B838DF">
        <w:rPr>
          <w:rFonts w:asciiTheme="minorHAnsi" w:hAnsiTheme="minorHAnsi" w:cstheme="minorBidi"/>
        </w:rPr>
        <w:t xml:space="preserve">A synthesis on utility of </w:t>
      </w:r>
      <w:proofErr w:type="spellStart"/>
      <w:r w:rsidRPr="00B838DF">
        <w:rPr>
          <w:rFonts w:asciiTheme="minorHAnsi" w:hAnsiTheme="minorHAnsi" w:cstheme="minorBidi"/>
        </w:rPr>
        <w:t>agri</w:t>
      </w:r>
      <w:proofErr w:type="spellEnd"/>
      <w:r w:rsidRPr="00B838DF">
        <w:rPr>
          <w:rFonts w:asciiTheme="minorHAnsi" w:hAnsiTheme="minorHAnsi" w:cstheme="minorBidi"/>
        </w:rPr>
        <w:t xml:space="preserve">-food systems approach looked at the </w:t>
      </w:r>
      <w:r w:rsidR="003A7E98" w:rsidRPr="00B838DF">
        <w:rPr>
          <w:rFonts w:asciiTheme="minorHAnsi" w:hAnsiTheme="minorHAnsi" w:cstheme="minorBidi"/>
        </w:rPr>
        <w:t>Impact Pathways and Intervention Strategies</w:t>
      </w:r>
      <w:r w:rsidRPr="00B838DF">
        <w:rPr>
          <w:rFonts w:asciiTheme="minorHAnsi" w:hAnsiTheme="minorHAnsi" w:cstheme="minorBidi"/>
        </w:rPr>
        <w:t xml:space="preserve"> for sustainable diets</w:t>
      </w:r>
      <w:r w:rsidR="003A7E98">
        <w:t xml:space="preserve"> </w:t>
      </w:r>
      <w:hyperlink r:id="rId12" w:history="1">
        <w:r w:rsidR="003A7E98" w:rsidRPr="00877162">
          <w:rPr>
            <w:rStyle w:val="Hyperlink"/>
          </w:rPr>
          <w:t>https://doi:10.3390/agriculture9090185</w:t>
        </w:r>
      </w:hyperlink>
      <w:r w:rsidR="00DE3E81">
        <w:t xml:space="preserve">. </w:t>
      </w:r>
      <w:r w:rsidR="00363683" w:rsidRPr="00363683">
        <w:rPr>
          <w:rFonts w:eastAsia="Times New Roman"/>
          <w:color w:val="000000"/>
          <w:lang w:eastAsia="en-IN"/>
        </w:rPr>
        <w:t>For the first time in India we initiated application of innovative tools such as system dynamics modelling for value chain analysis. We developed initial System dynamics model for sorghum-dairy value chain analysis with micro level data from SAT villages in India and with regional scope covering all major sorghum growing regions in India. A news story on this was published in a National daily:</w:t>
      </w:r>
      <w:r w:rsidR="00363683">
        <w:rPr>
          <w:rFonts w:eastAsia="Times New Roman"/>
          <w:color w:val="000000"/>
          <w:sz w:val="20"/>
          <w:szCs w:val="20"/>
          <w:lang w:eastAsia="en-IN"/>
        </w:rPr>
        <w:t xml:space="preserve"> </w:t>
      </w:r>
      <w:hyperlink r:id="rId13" w:history="1">
        <w:r w:rsidR="00363683" w:rsidRPr="00363683">
          <w:rPr>
            <w:rStyle w:val="Hyperlink"/>
            <w:rFonts w:eastAsia="Times New Roman"/>
            <w:sz w:val="20"/>
            <w:szCs w:val="20"/>
            <w:lang w:eastAsia="en-IN"/>
          </w:rPr>
          <w:t>https://www.thehindu.com/news/national/telangana/dynamic-modelling-to-help-improve-farm-output/article30462219.ece</w:t>
        </w:r>
      </w:hyperlink>
    </w:p>
    <w:p w14:paraId="3D53E9DA" w14:textId="18B9D218" w:rsidR="00751995" w:rsidRPr="00751995" w:rsidRDefault="00751995" w:rsidP="00751995">
      <w:pPr>
        <w:pStyle w:val="ListParagraph"/>
        <w:numPr>
          <w:ilvl w:val="0"/>
          <w:numId w:val="2"/>
        </w:numPr>
        <w:ind w:left="285" w:hanging="270"/>
        <w:contextualSpacing/>
      </w:pPr>
      <w:r w:rsidRPr="00751995">
        <w:rPr>
          <w:rFonts w:asciiTheme="minorHAnsi" w:hAnsiTheme="minorHAnsi" w:cstheme="minorBidi"/>
        </w:rPr>
        <w:t xml:space="preserve">A special session on </w:t>
      </w:r>
      <w:r>
        <w:rPr>
          <w:rFonts w:asciiTheme="minorHAnsi" w:hAnsiTheme="minorHAnsi" w:cstheme="minorBidi"/>
        </w:rPr>
        <w:t>‘</w:t>
      </w:r>
      <w:r w:rsidRPr="00751995">
        <w:rPr>
          <w:rFonts w:asciiTheme="minorHAnsi" w:hAnsiTheme="minorHAnsi" w:cstheme="minorBidi"/>
        </w:rPr>
        <w:t>Understanding food systems transitions to achieve nutritional outcomes</w:t>
      </w:r>
      <w:r>
        <w:rPr>
          <w:rFonts w:asciiTheme="minorHAnsi" w:hAnsiTheme="minorHAnsi" w:cstheme="minorBidi"/>
        </w:rPr>
        <w:t xml:space="preserve">’ was organized at the annual conference of the Agricultural Economic Research Association. </w:t>
      </w:r>
      <w:hyperlink r:id="rId14" w:history="1">
        <w:r w:rsidRPr="00751995">
          <w:rPr>
            <w:rStyle w:val="Hyperlink"/>
            <w:rFonts w:asciiTheme="minorHAnsi" w:hAnsiTheme="minorHAnsi" w:cstheme="minorHAnsi"/>
          </w:rPr>
          <w:t>https://www.cgiar.org/news-events/news/understanding-food-systems-transitions-is-key-to-achieve-nutritional-outcomes/</w:t>
        </w:r>
      </w:hyperlink>
    </w:p>
    <w:p w14:paraId="1C372DF1" w14:textId="54CA6153" w:rsidR="007A749C" w:rsidRPr="003B5D7E" w:rsidRDefault="007A749C" w:rsidP="007A749C">
      <w:pPr>
        <w:pStyle w:val="ListParagraph"/>
        <w:numPr>
          <w:ilvl w:val="0"/>
          <w:numId w:val="2"/>
        </w:numPr>
        <w:ind w:left="285" w:hanging="270"/>
        <w:contextualSpacing/>
        <w:rPr>
          <w:rFonts w:asciiTheme="minorHAnsi" w:hAnsiTheme="minorHAnsi" w:cstheme="minorHAnsi"/>
        </w:rPr>
      </w:pPr>
      <w:r w:rsidRPr="007A749C">
        <w:rPr>
          <w:color w:val="000000"/>
          <w:lang w:eastAsia="en-IN"/>
        </w:rPr>
        <w:t xml:space="preserve">Farmers in ESA were found to put more value on short term benefits of legumes including food and income than long term benefits such as natural resource management. Hence the multifunctional nature of legumes, promoted by aid agencies and national governments do not fully align with the goals of small holder farmers’ legume legumes as a means to generate income and promote nutrition may be the main mechanisms for framing transfer </w:t>
      </w:r>
      <w:proofErr w:type="spellStart"/>
      <w:r w:rsidRPr="007A749C">
        <w:rPr>
          <w:color w:val="000000"/>
          <w:lang w:eastAsia="en-IN"/>
        </w:rPr>
        <w:t>programmes</w:t>
      </w:r>
      <w:proofErr w:type="spellEnd"/>
      <w:r w:rsidRPr="007A749C">
        <w:rPr>
          <w:color w:val="000000"/>
          <w:lang w:eastAsia="en-IN"/>
        </w:rPr>
        <w:t xml:space="preserve"> and reduce emphasis on long term goals</w:t>
      </w:r>
      <w:r w:rsidRPr="007A749C">
        <w:rPr>
          <w:rFonts w:ascii="Arial" w:hAnsi="Arial" w:cs="Arial"/>
          <w:color w:val="333333"/>
          <w:sz w:val="26"/>
          <w:szCs w:val="26"/>
        </w:rPr>
        <w:t xml:space="preserve">. </w:t>
      </w:r>
      <w:hyperlink r:id="rId15" w:history="1">
        <w:r w:rsidRPr="003B5D7E">
          <w:rPr>
            <w:rStyle w:val="Hyperlink"/>
            <w:rFonts w:asciiTheme="minorHAnsi" w:eastAsiaTheme="majorEastAsia" w:hAnsiTheme="minorHAnsi" w:cstheme="minorHAnsi"/>
            <w:color w:val="006DB4"/>
            <w:sz w:val="20"/>
            <w:szCs w:val="20"/>
          </w:rPr>
          <w:t>https://doi.org/10.1080/14735903.2019.1609166</w:t>
        </w:r>
      </w:hyperlink>
    </w:p>
    <w:p w14:paraId="389DDDDC" w14:textId="77777777" w:rsidR="00B7383F" w:rsidRDefault="00B7383F" w:rsidP="00B7383F">
      <w:pPr>
        <w:pStyle w:val="NoSpacing"/>
        <w:rPr>
          <w:b/>
          <w:bCs/>
          <w:lang w:val="en-IN"/>
        </w:rPr>
      </w:pPr>
    </w:p>
    <w:p w14:paraId="64177886" w14:textId="3E96C204" w:rsidR="00B7383F" w:rsidRDefault="00B7383F" w:rsidP="00B7383F">
      <w:pPr>
        <w:pStyle w:val="NoSpacing"/>
      </w:pPr>
      <w:r w:rsidRPr="00FB0D2A">
        <w:rPr>
          <w:b/>
          <w:bCs/>
          <w:lang w:val="en-IN"/>
        </w:rPr>
        <w:t>knowledge for targeting gender and nutrition under GLDC farming systems</w:t>
      </w:r>
    </w:p>
    <w:p w14:paraId="43EC0F21" w14:textId="6B479152" w:rsidR="00DE3E81" w:rsidRPr="00DE3E81" w:rsidRDefault="00DE3E81" w:rsidP="00DE3E81">
      <w:pPr>
        <w:pStyle w:val="NoSpacing"/>
        <w:numPr>
          <w:ilvl w:val="0"/>
          <w:numId w:val="2"/>
        </w:numPr>
        <w:ind w:left="285" w:hanging="270"/>
      </w:pPr>
      <w:r w:rsidRPr="00DE3E81">
        <w:t>G</w:t>
      </w:r>
      <w:r w:rsidR="007B5F23" w:rsidRPr="00DE3E81">
        <w:t>ender study in Burkina Faso across the five ALS and examine</w:t>
      </w:r>
      <w:r w:rsidRPr="00DE3E81">
        <w:t>d</w:t>
      </w:r>
      <w:r w:rsidR="007B5F23" w:rsidRPr="00DE3E81">
        <w:t xml:space="preserve"> the potential challenges and opportunities to adopt and ben</w:t>
      </w:r>
      <w:r w:rsidRPr="00DE3E81">
        <w:t>efit from recommended packages considering</w:t>
      </w:r>
      <w:r w:rsidR="007B5F23" w:rsidRPr="00DE3E81">
        <w:t xml:space="preserve"> the implications of intersectional and social differentiations on farmers’ choices to grow cowpea</w:t>
      </w:r>
      <w:r w:rsidR="007B5F23" w:rsidRPr="00DE3E81">
        <w:rPr>
          <w:rFonts w:cstheme="minorHAnsi"/>
        </w:rPr>
        <w:t xml:space="preserve">. </w:t>
      </w:r>
      <w:hyperlink r:id="rId16" w:history="1">
        <w:r w:rsidRPr="00DE3E81">
          <w:rPr>
            <w:rStyle w:val="Hyperlink"/>
            <w:rFonts w:cstheme="minorHAnsi"/>
          </w:rPr>
          <w:t>https://hdl.handle.net/20.500.11766/10722</w:t>
        </w:r>
      </w:hyperlink>
      <w:r w:rsidRPr="00DE3E81">
        <w:rPr>
          <w:rFonts w:cstheme="minorHAnsi"/>
        </w:rPr>
        <w:t xml:space="preserve"> </w:t>
      </w:r>
    </w:p>
    <w:p w14:paraId="1B7F20B3" w14:textId="77777777" w:rsidR="00DE3E81" w:rsidRPr="00DE3E81" w:rsidRDefault="00DE3E81" w:rsidP="00DE3E81">
      <w:pPr>
        <w:pStyle w:val="ListParagraph"/>
        <w:numPr>
          <w:ilvl w:val="0"/>
          <w:numId w:val="11"/>
        </w:numPr>
        <w:ind w:left="284" w:hanging="284"/>
        <w:rPr>
          <w:rStyle w:val="Hyperlink"/>
          <w:rFonts w:asciiTheme="minorHAnsi" w:hAnsiTheme="minorHAnsi" w:cstheme="minorHAnsi"/>
          <w:color w:val="auto"/>
          <w:u w:val="none"/>
        </w:rPr>
      </w:pPr>
      <w:r w:rsidRPr="00DE3E81">
        <w:rPr>
          <w:rFonts w:asciiTheme="minorHAnsi" w:hAnsiTheme="minorHAnsi" w:cstheme="minorHAnsi"/>
        </w:rPr>
        <w:t>A study in Ethiopia analyzed</w:t>
      </w:r>
      <w:r w:rsidR="007B5F23" w:rsidRPr="00DE3E81">
        <w:rPr>
          <w:rFonts w:asciiTheme="minorHAnsi" w:hAnsiTheme="minorHAnsi" w:cstheme="minorHAnsi"/>
        </w:rPr>
        <w:t xml:space="preserve"> factors that can substantially promote or hinder the adoption of improved lentil and chickpea varieties and their differential cons</w:t>
      </w:r>
      <w:r w:rsidRPr="00DE3E81">
        <w:rPr>
          <w:rFonts w:asciiTheme="minorHAnsi" w:hAnsiTheme="minorHAnsi" w:cstheme="minorHAnsi"/>
        </w:rPr>
        <w:t xml:space="preserve">equence on men, women and youth with special focus on </w:t>
      </w:r>
      <w:r w:rsidR="007B5F23" w:rsidRPr="00DE3E81">
        <w:rPr>
          <w:rFonts w:asciiTheme="minorHAnsi" w:hAnsiTheme="minorHAnsi" w:cstheme="minorHAnsi"/>
        </w:rPr>
        <w:t xml:space="preserve">access to information, </w:t>
      </w:r>
      <w:r w:rsidRPr="00DE3E81">
        <w:rPr>
          <w:rFonts w:asciiTheme="minorHAnsi" w:hAnsiTheme="minorHAnsi" w:cstheme="minorHAnsi"/>
        </w:rPr>
        <w:t xml:space="preserve">agricultural inputs and credit. </w:t>
      </w:r>
      <w:hyperlink r:id="rId17" w:history="1">
        <w:r w:rsidR="007B5F23" w:rsidRPr="00DE3E81">
          <w:rPr>
            <w:rStyle w:val="Hyperlink"/>
            <w:rFonts w:asciiTheme="minorHAnsi" w:hAnsiTheme="minorHAnsi" w:cstheme="minorHAnsi"/>
          </w:rPr>
          <w:t>https://hdl.handle.net/20.500.11766/10721</w:t>
        </w:r>
      </w:hyperlink>
    </w:p>
    <w:p w14:paraId="6EE7D167" w14:textId="5AC54851" w:rsidR="00714E51" w:rsidRPr="00DE3E81" w:rsidRDefault="00137483" w:rsidP="00DE3E81">
      <w:pPr>
        <w:pStyle w:val="ListParagraph"/>
        <w:numPr>
          <w:ilvl w:val="0"/>
          <w:numId w:val="11"/>
        </w:numPr>
        <w:ind w:left="284" w:hanging="284"/>
        <w:rPr>
          <w:rFonts w:asciiTheme="minorHAnsi" w:hAnsiTheme="minorHAnsi" w:cstheme="minorHAnsi"/>
        </w:rPr>
      </w:pPr>
      <w:r w:rsidRPr="00DE3E81">
        <w:rPr>
          <w:rFonts w:asciiTheme="minorHAnsi" w:hAnsiTheme="minorHAnsi" w:cstheme="minorHAnsi"/>
        </w:rPr>
        <w:t>Field level study in tribal region of India points to low levels</w:t>
      </w:r>
      <w:r w:rsidRPr="00DE3E81">
        <w:rPr>
          <w:rFonts w:asciiTheme="minorHAnsi" w:hAnsiTheme="minorHAnsi" w:cstheme="minorBidi"/>
        </w:rPr>
        <w:t xml:space="preserve"> of nutrition knowledge, awareness and practices related to food and nutrition and a high prevalence of food taboos and myths. Knowledge, Attitudes and Practices (KAP) surveys reveal misconceptions that may be the potential barriers to consumption behavior change. A holistic package of nutrition education </w:t>
      </w:r>
      <w:r w:rsidRPr="00DE3E81">
        <w:rPr>
          <w:rFonts w:asciiTheme="minorHAnsi" w:hAnsiTheme="minorHAnsi" w:cstheme="minorBidi"/>
        </w:rPr>
        <w:lastRenderedPageBreak/>
        <w:t>through messaging and other methods is designed to lay the foundations of nutritional</w:t>
      </w:r>
      <w:r w:rsidRPr="00DE3E81">
        <w:rPr>
          <w:rFonts w:asciiTheme="minorHAnsi" w:hAnsiTheme="minorHAnsi" w:cstheme="minorHAnsi"/>
          <w:color w:val="000000"/>
        </w:rPr>
        <w:t xml:space="preserve"> knowledge and attitudes.</w:t>
      </w:r>
    </w:p>
    <w:p w14:paraId="2FBDAA60" w14:textId="77777777" w:rsidR="00714E51" w:rsidRDefault="00714E51" w:rsidP="006E40C8"/>
    <w:p w14:paraId="170E4E24" w14:textId="77777777" w:rsidR="006E40C8" w:rsidRPr="00614496" w:rsidRDefault="006E40C8" w:rsidP="006E40C8">
      <w:pPr>
        <w:pStyle w:val="Heading1"/>
        <w:rPr>
          <w:color w:val="BFBFBF" w:themeColor="background1" w:themeShade="BF"/>
          <w:sz w:val="24"/>
        </w:rPr>
      </w:pPr>
      <w:bookmarkStart w:id="6" w:name="_Toc535553040"/>
      <w:bookmarkStart w:id="7" w:name="_Toc535554719"/>
      <w:bookmarkStart w:id="8" w:name="_Toc535554941"/>
      <w:bookmarkStart w:id="9" w:name="_Toc535554982"/>
      <w:r w:rsidRPr="00614496">
        <w:rPr>
          <w:color w:val="BFBFBF" w:themeColor="background1" w:themeShade="BF"/>
          <w:sz w:val="24"/>
        </w:rPr>
        <w:t>Outcome cases and policy influenced (proposed)</w:t>
      </w:r>
      <w:bookmarkEnd w:id="6"/>
      <w:bookmarkEnd w:id="7"/>
      <w:bookmarkEnd w:id="8"/>
      <w:bookmarkEnd w:id="9"/>
    </w:p>
    <w:p w14:paraId="1AD88C3A" w14:textId="77777777" w:rsidR="006E40C8" w:rsidRDefault="006E40C8" w:rsidP="006E40C8">
      <w:r>
        <w:t>Revise and complete the suggested list of outcome cases and policies to be documented</w:t>
      </w:r>
    </w:p>
    <w:tbl>
      <w:tblPr>
        <w:tblStyle w:val="TableGrid"/>
        <w:tblW w:w="0" w:type="auto"/>
        <w:tblLook w:val="04A0" w:firstRow="1" w:lastRow="0" w:firstColumn="1" w:lastColumn="0" w:noHBand="0" w:noVBand="1"/>
      </w:tblPr>
      <w:tblGrid>
        <w:gridCol w:w="2944"/>
        <w:gridCol w:w="2944"/>
        <w:gridCol w:w="2944"/>
      </w:tblGrid>
      <w:tr w:rsidR="006E40C8" w:rsidRPr="00835BE3" w14:paraId="3FE25F6E" w14:textId="77777777" w:rsidTr="002D293F">
        <w:tc>
          <w:tcPr>
            <w:tcW w:w="2944" w:type="dxa"/>
            <w:shd w:val="clear" w:color="auto" w:fill="FFE599" w:themeFill="accent4" w:themeFillTint="66"/>
          </w:tcPr>
          <w:p w14:paraId="00885C0D"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Title of Outcome/ Impact Case Report (OICR) (30 words)</w:t>
            </w:r>
          </w:p>
        </w:tc>
        <w:tc>
          <w:tcPr>
            <w:tcW w:w="2944" w:type="dxa"/>
            <w:shd w:val="clear" w:color="auto" w:fill="FFE599" w:themeFill="accent4" w:themeFillTint="66"/>
          </w:tcPr>
          <w:p w14:paraId="0A3FFD1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Description</w:t>
            </w:r>
          </w:p>
          <w:p w14:paraId="53DC64AB"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(up to 80 words)</w:t>
            </w:r>
          </w:p>
        </w:tc>
        <w:tc>
          <w:tcPr>
            <w:tcW w:w="2944" w:type="dxa"/>
            <w:shd w:val="clear" w:color="auto" w:fill="FFE599" w:themeFill="accent4" w:themeFillTint="66"/>
          </w:tcPr>
          <w:p w14:paraId="490EE440"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5B57519A"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rsidRPr="00835BE3" w14:paraId="0B3B74D4" w14:textId="77777777" w:rsidTr="002D293F">
        <w:tc>
          <w:tcPr>
            <w:tcW w:w="2944" w:type="dxa"/>
          </w:tcPr>
          <w:p w14:paraId="6A73DAAC" w14:textId="1587EE38" w:rsidR="006E40C8" w:rsidRPr="00790AF0" w:rsidRDefault="00790AF0" w:rsidP="002D293F">
            <w:pPr>
              <w:rPr>
                <w:rFonts w:asciiTheme="minorHAnsi" w:hAnsiTheme="minorHAnsi" w:cstheme="minorHAnsi"/>
              </w:rPr>
            </w:pPr>
            <w:r w:rsidRPr="00790AF0">
              <w:rPr>
                <w:rFonts w:asciiTheme="minorHAnsi" w:hAnsiTheme="minorHAnsi" w:cstheme="minorHAnsi"/>
              </w:rPr>
              <w:t>Based on GLDC work</w:t>
            </w:r>
            <w:r>
              <w:rPr>
                <w:rFonts w:asciiTheme="minorHAnsi" w:hAnsiTheme="minorHAnsi" w:cstheme="minorHAnsi"/>
              </w:rPr>
              <w:t>,</w:t>
            </w:r>
            <w:r w:rsidRPr="00790AF0">
              <w:rPr>
                <w:rFonts w:asciiTheme="minorHAnsi" w:hAnsiTheme="minorHAnsi" w:cstheme="minorHAnsi"/>
              </w:rPr>
              <w:t xml:space="preserve"> TPE analysis and cropping systems modelling incorporated as an integral part of crop improvement programs in ICRISAT</w:t>
            </w:r>
          </w:p>
        </w:tc>
        <w:tc>
          <w:tcPr>
            <w:tcW w:w="2944" w:type="dxa"/>
          </w:tcPr>
          <w:p w14:paraId="7998DEE8" w14:textId="293FBAE9" w:rsidR="006E40C8" w:rsidRPr="00790AF0" w:rsidRDefault="00790AF0" w:rsidP="002D293F">
            <w:pPr>
              <w:rPr>
                <w:rFonts w:asciiTheme="minorHAnsi" w:hAnsiTheme="minorHAnsi" w:cstheme="minorHAnsi"/>
              </w:rPr>
            </w:pPr>
            <w:r w:rsidRPr="00790AF0">
              <w:rPr>
                <w:rFonts w:asciiTheme="minorHAnsi" w:hAnsiTheme="minorHAnsi" w:cstheme="minorHAnsi"/>
              </w:rPr>
              <w:t>Characterization of the main bio-geo-physical properties of the main crop production systems. Quantification of the main production constraints. In-</w:t>
            </w:r>
            <w:proofErr w:type="spellStart"/>
            <w:r w:rsidRPr="00790AF0">
              <w:rPr>
                <w:rFonts w:asciiTheme="minorHAnsi" w:hAnsiTheme="minorHAnsi" w:cstheme="minorHAnsi"/>
              </w:rPr>
              <w:t>silico</w:t>
            </w:r>
            <w:proofErr w:type="spellEnd"/>
            <w:r w:rsidRPr="00790AF0">
              <w:rPr>
                <w:rFonts w:asciiTheme="minorHAnsi" w:hAnsiTheme="minorHAnsi" w:cstheme="minorHAnsi"/>
              </w:rPr>
              <w:t xml:space="preserve"> evaluation of the technologies and optimization of </w:t>
            </w:r>
            <w:proofErr w:type="spellStart"/>
            <w:r w:rsidRPr="00790AF0">
              <w:rPr>
                <w:rFonts w:asciiTheme="minorHAnsi" w:hAnsiTheme="minorHAnsi" w:cstheme="minorHAnsi"/>
              </w:rPr>
              <w:t>GxM</w:t>
            </w:r>
            <w:proofErr w:type="spellEnd"/>
            <w:r w:rsidRPr="00790AF0">
              <w:rPr>
                <w:rFonts w:asciiTheme="minorHAnsi" w:hAnsiTheme="minorHAnsi" w:cstheme="minorHAnsi"/>
              </w:rPr>
              <w:t xml:space="preserve"> for E. Analyses conducted according to the BPAD recommendations and breeding programs demand. Demand defined based on the collaboration with the crop improvement teams (NARES and ICRISAT).</w:t>
            </w:r>
          </w:p>
        </w:tc>
        <w:tc>
          <w:tcPr>
            <w:tcW w:w="2944" w:type="dxa"/>
          </w:tcPr>
          <w:p w14:paraId="78AC7618" w14:textId="7CE17C53" w:rsidR="006E40C8" w:rsidRPr="00790AF0" w:rsidRDefault="00790AF0" w:rsidP="002D293F">
            <w:pPr>
              <w:rPr>
                <w:rFonts w:asciiTheme="minorHAnsi" w:hAnsiTheme="minorHAnsi" w:cstheme="minorHAnsi"/>
              </w:rPr>
            </w:pPr>
            <w:proofErr w:type="spellStart"/>
            <w:r w:rsidRPr="00790AF0">
              <w:rPr>
                <w:rFonts w:asciiTheme="minorHAnsi" w:hAnsiTheme="minorHAnsi" w:cstheme="minorHAnsi"/>
              </w:rPr>
              <w:t>ICRISAT_India</w:t>
            </w:r>
            <w:proofErr w:type="spellEnd"/>
            <w:r w:rsidRPr="00790AF0">
              <w:rPr>
                <w:rFonts w:asciiTheme="minorHAnsi" w:hAnsiTheme="minorHAnsi" w:cstheme="minorHAnsi"/>
              </w:rPr>
              <w:t xml:space="preserve">, </w:t>
            </w:r>
            <w:proofErr w:type="spellStart"/>
            <w:r w:rsidRPr="00790AF0">
              <w:rPr>
                <w:rFonts w:asciiTheme="minorHAnsi" w:hAnsiTheme="minorHAnsi" w:cstheme="minorHAnsi"/>
              </w:rPr>
              <w:t>ICRISAT_Mali</w:t>
            </w:r>
            <w:proofErr w:type="spellEnd"/>
            <w:r w:rsidRPr="00790AF0">
              <w:rPr>
                <w:rFonts w:asciiTheme="minorHAnsi" w:hAnsiTheme="minorHAnsi" w:cstheme="minorHAnsi"/>
              </w:rPr>
              <w:t xml:space="preserve">, </w:t>
            </w:r>
            <w:proofErr w:type="spellStart"/>
            <w:r w:rsidRPr="00790AF0">
              <w:rPr>
                <w:rFonts w:asciiTheme="minorHAnsi" w:hAnsiTheme="minorHAnsi" w:cstheme="minorHAnsi"/>
              </w:rPr>
              <w:t>UQ_Australia</w:t>
            </w:r>
            <w:proofErr w:type="spellEnd"/>
            <w:r w:rsidRPr="00790AF0">
              <w:rPr>
                <w:rFonts w:asciiTheme="minorHAnsi" w:hAnsiTheme="minorHAnsi" w:cstheme="minorHAnsi"/>
              </w:rPr>
              <w:t xml:space="preserve">, </w:t>
            </w:r>
            <w:proofErr w:type="spellStart"/>
            <w:r w:rsidRPr="00790AF0">
              <w:rPr>
                <w:rFonts w:asciiTheme="minorHAnsi" w:hAnsiTheme="minorHAnsi" w:cstheme="minorHAnsi"/>
              </w:rPr>
              <w:t>IIMR_India</w:t>
            </w:r>
            <w:proofErr w:type="spellEnd"/>
            <w:r w:rsidRPr="00790AF0">
              <w:rPr>
                <w:rFonts w:asciiTheme="minorHAnsi" w:hAnsiTheme="minorHAnsi" w:cstheme="minorHAnsi"/>
              </w:rPr>
              <w:t xml:space="preserve">, </w:t>
            </w:r>
            <w:proofErr w:type="spellStart"/>
            <w:r w:rsidRPr="00790AF0">
              <w:rPr>
                <w:rFonts w:asciiTheme="minorHAnsi" w:hAnsiTheme="minorHAnsi" w:cstheme="minorHAnsi"/>
              </w:rPr>
              <w:t>CULS_Czech</w:t>
            </w:r>
            <w:proofErr w:type="spellEnd"/>
            <w:r w:rsidRPr="00790AF0">
              <w:rPr>
                <w:rFonts w:asciiTheme="minorHAnsi" w:hAnsiTheme="minorHAnsi" w:cstheme="minorHAnsi"/>
              </w:rPr>
              <w:t xml:space="preserve"> Republic, </w:t>
            </w:r>
            <w:proofErr w:type="spellStart"/>
            <w:r w:rsidRPr="00790AF0">
              <w:rPr>
                <w:rFonts w:asciiTheme="minorHAnsi" w:hAnsiTheme="minorHAnsi" w:cstheme="minorHAnsi"/>
              </w:rPr>
              <w:t>CIRAD_Mali</w:t>
            </w:r>
            <w:proofErr w:type="spellEnd"/>
            <w:r w:rsidRPr="00790AF0">
              <w:rPr>
                <w:rFonts w:asciiTheme="minorHAnsi" w:hAnsiTheme="minorHAnsi" w:cstheme="minorHAnsi"/>
              </w:rPr>
              <w:t xml:space="preserve">, </w:t>
            </w:r>
            <w:proofErr w:type="spellStart"/>
            <w:r w:rsidRPr="00790AF0">
              <w:rPr>
                <w:rFonts w:asciiTheme="minorHAnsi" w:hAnsiTheme="minorHAnsi" w:cstheme="minorHAnsi"/>
              </w:rPr>
              <w:t>INRA_Senegal</w:t>
            </w:r>
            <w:proofErr w:type="spellEnd"/>
            <w:r w:rsidRPr="00790AF0">
              <w:rPr>
                <w:rFonts w:asciiTheme="minorHAnsi" w:hAnsiTheme="minorHAnsi" w:cstheme="minorHAnsi"/>
              </w:rPr>
              <w:t xml:space="preserve">, </w:t>
            </w:r>
            <w:proofErr w:type="spellStart"/>
            <w:r w:rsidRPr="00790AF0">
              <w:rPr>
                <w:rFonts w:asciiTheme="minorHAnsi" w:hAnsiTheme="minorHAnsi" w:cstheme="minorHAnsi"/>
              </w:rPr>
              <w:t>IER_Mali</w:t>
            </w:r>
            <w:proofErr w:type="spellEnd"/>
          </w:p>
        </w:tc>
      </w:tr>
      <w:tr w:rsidR="006E40C8" w:rsidRPr="00835BE3" w14:paraId="75EE323E" w14:textId="77777777" w:rsidTr="002D293F">
        <w:tc>
          <w:tcPr>
            <w:tcW w:w="2944" w:type="dxa"/>
          </w:tcPr>
          <w:p w14:paraId="02FD911B" w14:textId="24249BE6" w:rsidR="006E40C8" w:rsidRPr="00835BE3" w:rsidRDefault="005E2C19" w:rsidP="005E2C19">
            <w:r>
              <w:rPr>
                <w:rFonts w:asciiTheme="minorHAnsi" w:eastAsia="Calibri" w:hAnsiTheme="minorHAnsi" w:cstheme="minorBidi"/>
              </w:rPr>
              <w:t>Development and piloting of a</w:t>
            </w:r>
            <w:r w:rsidRPr="00363683">
              <w:rPr>
                <w:rFonts w:asciiTheme="minorHAnsi" w:eastAsia="Calibri" w:hAnsiTheme="minorHAnsi" w:cstheme="minorBidi"/>
              </w:rPr>
              <w:t xml:space="preserve"> comprehensive framework for farming systems sustainability assessment with five domains and 115 indicators </w:t>
            </w:r>
            <w:r>
              <w:rPr>
                <w:rFonts w:asciiTheme="minorHAnsi" w:eastAsia="Calibri" w:hAnsiTheme="minorHAnsi" w:cstheme="minorBidi"/>
              </w:rPr>
              <w:t xml:space="preserve">in SA and SSA. </w:t>
            </w:r>
            <w:r w:rsidRPr="00363683">
              <w:rPr>
                <w:rFonts w:asciiTheme="minorHAnsi" w:eastAsia="Calibri" w:hAnsiTheme="minorHAnsi" w:cstheme="minorBidi"/>
              </w:rPr>
              <w:t>was developed and the same was implemented and validated in one location in India (Nalgonda) for different functional farm types. Two Masters students one from India and one from SLU were trained on sustainability assessment and submitted their thesis.  A good progress has been made on the development of online open access tool for farming system sustainability assessment</w:t>
            </w:r>
            <w:r w:rsidRPr="00DE3E81">
              <w:rPr>
                <w:rFonts w:asciiTheme="minorHAnsi" w:hAnsiTheme="minorHAnsi" w:cstheme="minorHAnsi"/>
              </w:rPr>
              <w:t>.</w:t>
            </w:r>
          </w:p>
        </w:tc>
        <w:tc>
          <w:tcPr>
            <w:tcW w:w="2944" w:type="dxa"/>
          </w:tcPr>
          <w:p w14:paraId="54B4731A" w14:textId="5C44FA53" w:rsidR="006E40C8" w:rsidRPr="00835BE3" w:rsidRDefault="005E2C19" w:rsidP="005E2C19">
            <w:r w:rsidRPr="00363683">
              <w:rPr>
                <w:rFonts w:asciiTheme="minorHAnsi" w:eastAsia="Calibri" w:hAnsiTheme="minorHAnsi" w:cstheme="minorBidi"/>
              </w:rPr>
              <w:t xml:space="preserve">A comprehensive framework for farming systems sustainability assessment with five domains and 115 indicators </w:t>
            </w:r>
            <w:r>
              <w:rPr>
                <w:rFonts w:asciiTheme="minorHAnsi" w:eastAsia="Calibri" w:hAnsiTheme="minorHAnsi" w:cstheme="minorBidi"/>
              </w:rPr>
              <w:t>has been</w:t>
            </w:r>
            <w:r w:rsidRPr="00363683">
              <w:rPr>
                <w:rFonts w:asciiTheme="minorHAnsi" w:eastAsia="Calibri" w:hAnsiTheme="minorHAnsi" w:cstheme="minorBidi"/>
              </w:rPr>
              <w:t xml:space="preserve"> developed and </w:t>
            </w:r>
            <w:r>
              <w:rPr>
                <w:rFonts w:asciiTheme="minorHAnsi" w:eastAsia="Calibri" w:hAnsiTheme="minorHAnsi" w:cstheme="minorBidi"/>
              </w:rPr>
              <w:t>piloted on different</w:t>
            </w:r>
            <w:r w:rsidRPr="00363683">
              <w:rPr>
                <w:rFonts w:asciiTheme="minorHAnsi" w:eastAsia="Calibri" w:hAnsiTheme="minorHAnsi" w:cstheme="minorBidi"/>
              </w:rPr>
              <w:t xml:space="preserve"> functional farm types. </w:t>
            </w:r>
            <w:r>
              <w:rPr>
                <w:rFonts w:asciiTheme="minorHAnsi" w:eastAsia="Calibri" w:hAnsiTheme="minorHAnsi" w:cstheme="minorBidi"/>
              </w:rPr>
              <w:t>The</w:t>
            </w:r>
            <w:r w:rsidRPr="00363683">
              <w:rPr>
                <w:rFonts w:asciiTheme="minorHAnsi" w:eastAsia="Calibri" w:hAnsiTheme="minorHAnsi" w:cstheme="minorBidi"/>
              </w:rPr>
              <w:t xml:space="preserve"> development of online open access </w:t>
            </w:r>
            <w:r w:rsidR="00CB5659">
              <w:rPr>
                <w:rFonts w:asciiTheme="minorHAnsi" w:eastAsia="Calibri" w:hAnsiTheme="minorHAnsi" w:cstheme="minorBidi"/>
              </w:rPr>
              <w:t xml:space="preserve">Dashboard </w:t>
            </w:r>
            <w:r w:rsidRPr="00363683">
              <w:rPr>
                <w:rFonts w:asciiTheme="minorHAnsi" w:eastAsia="Calibri" w:hAnsiTheme="minorHAnsi" w:cstheme="minorBidi"/>
              </w:rPr>
              <w:t>tool for farming system sustainability assessment</w:t>
            </w:r>
            <w:r w:rsidR="00CB5659">
              <w:rPr>
                <w:rFonts w:asciiTheme="minorHAnsi" w:eastAsia="Calibri" w:hAnsiTheme="minorHAnsi" w:cstheme="minorBidi"/>
              </w:rPr>
              <w:t xml:space="preserve"> is in advanced stage</w:t>
            </w:r>
            <w:r w:rsidR="00E61F0A">
              <w:rPr>
                <w:rFonts w:asciiTheme="minorHAnsi" w:hAnsiTheme="minorHAnsi" w:cstheme="minorHAnsi"/>
              </w:rPr>
              <w:t xml:space="preserve"> and would be a global public good.</w:t>
            </w:r>
          </w:p>
        </w:tc>
        <w:tc>
          <w:tcPr>
            <w:tcW w:w="2944" w:type="dxa"/>
          </w:tcPr>
          <w:p w14:paraId="29B0926D" w14:textId="6B3861A9" w:rsidR="006E40C8" w:rsidRPr="00835BE3" w:rsidRDefault="00CB5659" w:rsidP="002D293F">
            <w:r>
              <w:t>ICRISAT, WUR, SLU, ICARDA</w:t>
            </w:r>
          </w:p>
        </w:tc>
      </w:tr>
    </w:tbl>
    <w:p w14:paraId="4E0A5BC6" w14:textId="268BE083" w:rsidR="006E40C8" w:rsidRDefault="006E40C8" w:rsidP="006E40C8"/>
    <w:p w14:paraId="5F30D00A" w14:textId="77777777" w:rsidR="00714E51" w:rsidRPr="00835BE3" w:rsidRDefault="00714E51" w:rsidP="006E40C8"/>
    <w:tbl>
      <w:tblPr>
        <w:tblStyle w:val="TableGrid"/>
        <w:tblW w:w="0" w:type="auto"/>
        <w:tblLook w:val="04A0" w:firstRow="1" w:lastRow="0" w:firstColumn="1" w:lastColumn="0" w:noHBand="0" w:noVBand="1"/>
      </w:tblPr>
      <w:tblGrid>
        <w:gridCol w:w="2316"/>
        <w:gridCol w:w="1822"/>
        <w:gridCol w:w="2531"/>
        <w:gridCol w:w="2163"/>
      </w:tblGrid>
      <w:tr w:rsidR="006E40C8" w:rsidRPr="00325DF3" w14:paraId="7A001517" w14:textId="77777777" w:rsidTr="002D293F">
        <w:tc>
          <w:tcPr>
            <w:tcW w:w="2316" w:type="dxa"/>
            <w:shd w:val="clear" w:color="auto" w:fill="FFE599" w:themeFill="accent4" w:themeFillTint="66"/>
          </w:tcPr>
          <w:p w14:paraId="7E6FA074"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Name and description of policies modified in design</w:t>
            </w:r>
          </w:p>
          <w:p w14:paraId="1B6B871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or implementation, informed by CGIAR research (20-50 words, ideally around 30 words)</w:t>
            </w:r>
          </w:p>
        </w:tc>
        <w:tc>
          <w:tcPr>
            <w:tcW w:w="1822" w:type="dxa"/>
            <w:shd w:val="clear" w:color="auto" w:fill="FFE599" w:themeFill="accent4" w:themeFillTint="66"/>
          </w:tcPr>
          <w:p w14:paraId="072953A6"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Type</w:t>
            </w:r>
          </w:p>
          <w:p w14:paraId="577AAAD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(policies/ strategies / laws/ regulations/ budgets/ investments/ curricula)</w:t>
            </w:r>
          </w:p>
        </w:tc>
        <w:tc>
          <w:tcPr>
            <w:tcW w:w="2531" w:type="dxa"/>
            <w:shd w:val="clear" w:color="auto" w:fill="FFE599" w:themeFill="accent4" w:themeFillTint="66"/>
          </w:tcPr>
          <w:p w14:paraId="17F817E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Whose policy is this?</w:t>
            </w:r>
          </w:p>
          <w:p w14:paraId="23B8C13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The primary organization(s) either designing/promulgating the policy, law, investment (e.g. national government) etc. and/or within which it is operating.</w:t>
            </w:r>
          </w:p>
        </w:tc>
        <w:tc>
          <w:tcPr>
            <w:tcW w:w="2163" w:type="dxa"/>
            <w:shd w:val="clear" w:color="auto" w:fill="FFE599" w:themeFill="accent4" w:themeFillTint="66"/>
          </w:tcPr>
          <w:p w14:paraId="01D8665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65DA1262" w14:textId="77777777" w:rsidR="006E40C8" w:rsidRPr="00325DF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14:paraId="62C1B0EF" w14:textId="77777777" w:rsidTr="002D293F">
        <w:tc>
          <w:tcPr>
            <w:tcW w:w="2316" w:type="dxa"/>
          </w:tcPr>
          <w:p w14:paraId="7035FBE1" w14:textId="77777777" w:rsidR="006E40C8" w:rsidRDefault="006E40C8" w:rsidP="002D293F"/>
        </w:tc>
        <w:tc>
          <w:tcPr>
            <w:tcW w:w="1822" w:type="dxa"/>
          </w:tcPr>
          <w:p w14:paraId="620CCF90" w14:textId="77777777" w:rsidR="006E40C8" w:rsidRDefault="006E40C8" w:rsidP="002D293F"/>
        </w:tc>
        <w:tc>
          <w:tcPr>
            <w:tcW w:w="2531" w:type="dxa"/>
          </w:tcPr>
          <w:p w14:paraId="2083A5A6" w14:textId="77777777" w:rsidR="006E40C8" w:rsidRDefault="006E40C8" w:rsidP="002D293F"/>
        </w:tc>
        <w:tc>
          <w:tcPr>
            <w:tcW w:w="2163" w:type="dxa"/>
          </w:tcPr>
          <w:p w14:paraId="75769F14" w14:textId="77777777" w:rsidR="006E40C8" w:rsidRDefault="006E40C8" w:rsidP="002D293F"/>
        </w:tc>
      </w:tr>
      <w:tr w:rsidR="006E40C8" w14:paraId="1444CD83" w14:textId="77777777" w:rsidTr="002D293F">
        <w:tc>
          <w:tcPr>
            <w:tcW w:w="2316" w:type="dxa"/>
          </w:tcPr>
          <w:p w14:paraId="3BADA59A" w14:textId="77777777" w:rsidR="006E40C8" w:rsidRDefault="006E40C8" w:rsidP="002D293F"/>
        </w:tc>
        <w:tc>
          <w:tcPr>
            <w:tcW w:w="1822" w:type="dxa"/>
          </w:tcPr>
          <w:p w14:paraId="0FB6EA8D" w14:textId="77777777" w:rsidR="006E40C8" w:rsidRDefault="006E40C8" w:rsidP="002D293F"/>
        </w:tc>
        <w:tc>
          <w:tcPr>
            <w:tcW w:w="2531" w:type="dxa"/>
          </w:tcPr>
          <w:p w14:paraId="7750E262" w14:textId="77777777" w:rsidR="006E40C8" w:rsidRDefault="006E40C8" w:rsidP="002D293F"/>
        </w:tc>
        <w:tc>
          <w:tcPr>
            <w:tcW w:w="2163" w:type="dxa"/>
          </w:tcPr>
          <w:p w14:paraId="7509CE85" w14:textId="77777777" w:rsidR="006E40C8" w:rsidRDefault="006E40C8" w:rsidP="002D293F"/>
        </w:tc>
      </w:tr>
    </w:tbl>
    <w:p w14:paraId="2E8CE48C" w14:textId="77777777" w:rsidR="006E40C8" w:rsidRDefault="006E40C8" w:rsidP="006E40C8"/>
    <w:p w14:paraId="6E288D0C" w14:textId="77777777" w:rsidR="006E40C8" w:rsidRPr="00614496" w:rsidRDefault="006E40C8" w:rsidP="006E40C8">
      <w:pPr>
        <w:pStyle w:val="Heading1"/>
        <w:rPr>
          <w:color w:val="BFBFBF" w:themeColor="background1" w:themeShade="BF"/>
          <w:sz w:val="24"/>
        </w:rPr>
      </w:pPr>
      <w:bookmarkStart w:id="10" w:name="_Toc535553041"/>
      <w:bookmarkStart w:id="11" w:name="_Toc535554720"/>
      <w:bookmarkStart w:id="12" w:name="_Toc535554942"/>
      <w:bookmarkStart w:id="13" w:name="_Toc535554983"/>
      <w:r w:rsidRPr="00614496">
        <w:rPr>
          <w:color w:val="BFBFBF" w:themeColor="background1" w:themeShade="BF"/>
          <w:sz w:val="24"/>
        </w:rPr>
        <w:t>MAIN ACHIEVEMENTS WITH GENDER RELEVANCE</w:t>
      </w:r>
      <w:bookmarkEnd w:id="10"/>
      <w:bookmarkEnd w:id="11"/>
      <w:bookmarkEnd w:id="12"/>
      <w:bookmarkEnd w:id="13"/>
    </w:p>
    <w:p w14:paraId="24B7FC6C" w14:textId="77777777" w:rsidR="006E40C8" w:rsidRDefault="006E40C8" w:rsidP="006E40C8">
      <w:r>
        <w:t>When possible, make reference to outputs reported, milestones completed, outcome cases or policy influence reported</w:t>
      </w:r>
    </w:p>
    <w:p w14:paraId="415B86D6" w14:textId="0027AFB4" w:rsidR="006E40C8" w:rsidRDefault="006E40C8" w:rsidP="006E40C8">
      <w:r>
        <w:t>MAX 1500 characters</w:t>
      </w:r>
    </w:p>
    <w:p w14:paraId="6C363825" w14:textId="77777777" w:rsidR="003523AB" w:rsidRPr="008C2096" w:rsidRDefault="003523AB" w:rsidP="003523AB">
      <w:pPr>
        <w:pStyle w:val="NoSpacing"/>
        <w:numPr>
          <w:ilvl w:val="0"/>
          <w:numId w:val="15"/>
        </w:numPr>
        <w:spacing w:line="252" w:lineRule="auto"/>
      </w:pPr>
      <w:proofErr w:type="spellStart"/>
      <w:r>
        <w:rPr>
          <w:rFonts w:cs="Times New Roman"/>
        </w:rPr>
        <w:t>Nutri</w:t>
      </w:r>
      <w:proofErr w:type="spellEnd"/>
      <w:r>
        <w:rPr>
          <w:rFonts w:cs="Times New Roman"/>
        </w:rPr>
        <w:t xml:space="preserve">-food basket project which enrolled the adolescent girl provided a very good opportunity for them to network and participate in community based activity resulting in </w:t>
      </w:r>
      <w:r w:rsidRPr="008C2096">
        <w:rPr>
          <w:rFonts w:cs="Times New Roman"/>
        </w:rPr>
        <w:t xml:space="preserve">improved mobility and awareness on nutrition. </w:t>
      </w:r>
    </w:p>
    <w:p w14:paraId="7645EFEE" w14:textId="6CA66C99" w:rsidR="003523AB" w:rsidRPr="008C2096" w:rsidRDefault="003523AB" w:rsidP="003523AB">
      <w:pPr>
        <w:pStyle w:val="ListParagraph"/>
        <w:numPr>
          <w:ilvl w:val="0"/>
          <w:numId w:val="15"/>
        </w:numPr>
        <w:rPr>
          <w:rFonts w:asciiTheme="minorHAnsi" w:hAnsiTheme="minorHAnsi"/>
        </w:rPr>
      </w:pPr>
      <w:r w:rsidRPr="008C2096">
        <w:rPr>
          <w:rFonts w:asciiTheme="minorHAnsi" w:hAnsiTheme="minorHAnsi"/>
        </w:rPr>
        <w:t xml:space="preserve">The studies are looking at the challenges, and opportunities, and benefits that recommended packages present for men, women and youth engaged in the </w:t>
      </w:r>
      <w:r w:rsidR="008C2096" w:rsidRPr="008C2096">
        <w:rPr>
          <w:rFonts w:asciiTheme="minorHAnsi" w:hAnsiTheme="minorHAnsi"/>
        </w:rPr>
        <w:t>integrated farming</w:t>
      </w:r>
      <w:r w:rsidRPr="008C2096">
        <w:rPr>
          <w:rFonts w:asciiTheme="minorHAnsi" w:hAnsiTheme="minorHAnsi"/>
        </w:rPr>
        <w:t xml:space="preserve"> system</w:t>
      </w:r>
      <w:r w:rsidR="008C2096" w:rsidRPr="008C2096">
        <w:rPr>
          <w:rFonts w:asciiTheme="minorHAnsi" w:hAnsiTheme="minorHAnsi"/>
        </w:rPr>
        <w:t>s</w:t>
      </w:r>
      <w:r w:rsidRPr="008C2096">
        <w:rPr>
          <w:rFonts w:asciiTheme="minorHAnsi" w:hAnsiTheme="minorHAnsi"/>
        </w:rPr>
        <w:t>; and explore variations within and across distinct agricultural livelihood types.</w:t>
      </w:r>
    </w:p>
    <w:p w14:paraId="0D8C4A6F" w14:textId="77777777" w:rsidR="00714E51" w:rsidRDefault="00714E51" w:rsidP="006E40C8"/>
    <w:p w14:paraId="6F50A425" w14:textId="77777777" w:rsidR="006E40C8" w:rsidRPr="00614496" w:rsidRDefault="006E40C8" w:rsidP="006E40C8">
      <w:pPr>
        <w:pStyle w:val="Heading1"/>
        <w:rPr>
          <w:color w:val="BFBFBF" w:themeColor="background1" w:themeShade="BF"/>
          <w:sz w:val="24"/>
        </w:rPr>
      </w:pPr>
      <w:bookmarkStart w:id="14" w:name="_Toc535553042"/>
      <w:bookmarkStart w:id="15" w:name="_Toc535554721"/>
      <w:bookmarkStart w:id="16" w:name="_Toc535554943"/>
      <w:bookmarkStart w:id="17" w:name="_Toc535554984"/>
      <w:r w:rsidRPr="00614496">
        <w:rPr>
          <w:color w:val="BFBFBF" w:themeColor="background1" w:themeShade="BF"/>
          <w:sz w:val="24"/>
        </w:rPr>
        <w:t>MAIN ACHIEVEMENTS WITH Youth RELEVANCE</w:t>
      </w:r>
      <w:bookmarkEnd w:id="14"/>
      <w:bookmarkEnd w:id="15"/>
      <w:bookmarkEnd w:id="16"/>
      <w:bookmarkEnd w:id="17"/>
    </w:p>
    <w:p w14:paraId="03B60892" w14:textId="77777777" w:rsidR="006E40C8" w:rsidRDefault="006E40C8" w:rsidP="006E40C8">
      <w:r>
        <w:t>When possible, make reference to innovations reported, milestones completed, outcome cases or policy influence reported</w:t>
      </w:r>
    </w:p>
    <w:p w14:paraId="79737684" w14:textId="60F225D7" w:rsidR="006E40C8" w:rsidRDefault="006E40C8" w:rsidP="006E40C8">
      <w:r>
        <w:t>MAX 1500 characters</w:t>
      </w:r>
    </w:p>
    <w:p w14:paraId="1ECC3867" w14:textId="0EF3993F" w:rsidR="003523AB" w:rsidRPr="00BC582E" w:rsidRDefault="003523AB" w:rsidP="003523AB">
      <w:pPr>
        <w:pStyle w:val="NoSpacing"/>
        <w:numPr>
          <w:ilvl w:val="0"/>
          <w:numId w:val="15"/>
        </w:numPr>
        <w:spacing w:line="252" w:lineRule="auto"/>
      </w:pPr>
      <w:r>
        <w:rPr>
          <w:rFonts w:cs="Times New Roman"/>
        </w:rPr>
        <w:t>Young boys (70%) in tribal region of Telangana were found to have more awareness about nutrition and health compared to young girls (15%) as the boys had greater access to smart phone.</w:t>
      </w:r>
    </w:p>
    <w:p w14:paraId="324AB432" w14:textId="5E7727F0" w:rsidR="00BC582E" w:rsidRPr="00864F75" w:rsidRDefault="00BC582E" w:rsidP="008C2096">
      <w:pPr>
        <w:pStyle w:val="ListParagraph"/>
        <w:numPr>
          <w:ilvl w:val="0"/>
          <w:numId w:val="15"/>
        </w:numPr>
      </w:pPr>
      <w:r>
        <w:t xml:space="preserve">Systems modelling tools validated in south Asia and West Africa are being established as decision support tools for the youth/young farmers to evaluate returns/cash flows from the integrated farming systems and various alternative technology </w:t>
      </w:r>
      <w:r w:rsidR="008C2096">
        <w:t>options.</w:t>
      </w:r>
      <w:r>
        <w:t xml:space="preserve"> </w:t>
      </w:r>
    </w:p>
    <w:p w14:paraId="24CD5DB5" w14:textId="77777777" w:rsidR="00F90D96" w:rsidRDefault="00F90D96" w:rsidP="00F90D96">
      <w:pPr>
        <w:rPr>
          <w:rFonts w:ascii="Garamond" w:hAnsi="Garamond"/>
        </w:rPr>
      </w:pPr>
    </w:p>
    <w:p w14:paraId="5D96AFF8" w14:textId="77777777" w:rsidR="006E40C8" w:rsidRPr="00614496" w:rsidRDefault="006E40C8" w:rsidP="006E40C8">
      <w:pPr>
        <w:pStyle w:val="Heading1"/>
        <w:rPr>
          <w:color w:val="BFBFBF" w:themeColor="background1" w:themeShade="BF"/>
          <w:sz w:val="24"/>
        </w:rPr>
      </w:pPr>
      <w:bookmarkStart w:id="18" w:name="_Toc535553043"/>
      <w:bookmarkStart w:id="19" w:name="_Toc535554722"/>
      <w:bookmarkStart w:id="20" w:name="_Toc535554944"/>
      <w:bookmarkStart w:id="21" w:name="_Toc535554985"/>
      <w:r w:rsidRPr="00614496">
        <w:rPr>
          <w:color w:val="BFBFBF" w:themeColor="background1" w:themeShade="BF"/>
          <w:sz w:val="24"/>
        </w:rPr>
        <w:t>MAIN ACHIEVEMENTS WITH CAPACITY DEVELOPMENT RELEVANCE</w:t>
      </w:r>
      <w:bookmarkEnd w:id="18"/>
      <w:bookmarkEnd w:id="19"/>
      <w:bookmarkEnd w:id="20"/>
      <w:bookmarkEnd w:id="21"/>
    </w:p>
    <w:p w14:paraId="78E9AD68" w14:textId="77777777" w:rsidR="006E40C8" w:rsidRDefault="006E40C8" w:rsidP="006E40C8">
      <w:r>
        <w:t>When possible, make reference to innovations reported, milestones completed, outcome cases or policy influence reported</w:t>
      </w:r>
    </w:p>
    <w:p w14:paraId="31B5EC79" w14:textId="7DF133DD" w:rsidR="00220CE9" w:rsidRDefault="006E40C8" w:rsidP="00614EF9">
      <w:r>
        <w:t>MAX 1500 characters</w:t>
      </w:r>
    </w:p>
    <w:p w14:paraId="30723DCD" w14:textId="77777777" w:rsidR="00220CE9" w:rsidRDefault="00220CE9" w:rsidP="006E40C8"/>
    <w:tbl>
      <w:tblPr>
        <w:tblStyle w:val="GridTable1Light-Accent3"/>
        <w:tblW w:w="0" w:type="auto"/>
        <w:tblLook w:val="04A0" w:firstRow="1" w:lastRow="0" w:firstColumn="1" w:lastColumn="0" w:noHBand="0" w:noVBand="1"/>
      </w:tblPr>
      <w:tblGrid>
        <w:gridCol w:w="6516"/>
        <w:gridCol w:w="2316"/>
      </w:tblGrid>
      <w:tr w:rsidR="00220CE9" w:rsidRPr="00220CE9" w14:paraId="58C667B1" w14:textId="77777777" w:rsidTr="00614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6FA5C6D" w14:textId="77777777" w:rsidR="00220CE9" w:rsidRPr="00220CE9" w:rsidRDefault="00220CE9" w:rsidP="00934994">
            <w:pPr>
              <w:rPr>
                <w:rFonts w:asciiTheme="minorHAnsi" w:hAnsiTheme="minorHAnsi" w:cstheme="minorHAnsi"/>
                <w:b w:val="0"/>
                <w:sz w:val="22"/>
                <w:szCs w:val="22"/>
              </w:rPr>
            </w:pPr>
            <w:r w:rsidRPr="00220CE9">
              <w:rPr>
                <w:rFonts w:asciiTheme="minorHAnsi" w:hAnsiTheme="minorHAnsi" w:cstheme="minorHAnsi"/>
                <w:b w:val="0"/>
                <w:sz w:val="22"/>
                <w:szCs w:val="22"/>
              </w:rPr>
              <w:t xml:space="preserve">Capacity building </w:t>
            </w:r>
          </w:p>
        </w:tc>
        <w:tc>
          <w:tcPr>
            <w:tcW w:w="2316" w:type="dxa"/>
          </w:tcPr>
          <w:p w14:paraId="6DB87752" w14:textId="77777777" w:rsidR="00220CE9" w:rsidRPr="00220CE9" w:rsidRDefault="00220CE9" w:rsidP="0093499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220CE9">
              <w:rPr>
                <w:rFonts w:asciiTheme="minorHAnsi" w:hAnsiTheme="minorHAnsi" w:cstheme="minorHAnsi"/>
                <w:b w:val="0"/>
                <w:sz w:val="22"/>
                <w:szCs w:val="22"/>
              </w:rPr>
              <w:t>Numbers</w:t>
            </w:r>
          </w:p>
        </w:tc>
      </w:tr>
      <w:tr w:rsidR="00220CE9" w:rsidRPr="00220CE9" w14:paraId="25BFC548"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4E84E883" w14:textId="515548B4" w:rsidR="00220CE9" w:rsidRPr="00220CE9" w:rsidRDefault="00220CE9" w:rsidP="00934994">
            <w:pPr>
              <w:rPr>
                <w:rFonts w:asciiTheme="minorHAnsi" w:hAnsiTheme="minorHAnsi" w:cstheme="minorHAnsi"/>
                <w:b w:val="0"/>
                <w:sz w:val="22"/>
                <w:szCs w:val="22"/>
              </w:rPr>
            </w:pPr>
            <w:r w:rsidRPr="00220CE9">
              <w:rPr>
                <w:rFonts w:asciiTheme="minorHAnsi" w:hAnsiTheme="minorHAnsi" w:cstheme="minorHAnsi"/>
                <w:b w:val="0"/>
                <w:sz w:val="22"/>
                <w:szCs w:val="22"/>
              </w:rPr>
              <w:t>International Training Workshop on Integrative value chain analytics supporting food systems transformation and whole farm modeling, Organized by ICRISAT, CSIRO, ICAR, ILRI and CRP-GLDC on 27-31 May 2019</w:t>
            </w:r>
          </w:p>
        </w:tc>
        <w:tc>
          <w:tcPr>
            <w:tcW w:w="2316" w:type="dxa"/>
          </w:tcPr>
          <w:p w14:paraId="5BD8C30E" w14:textId="4686EBF7"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Women: 5; Men: 20</w:t>
            </w:r>
          </w:p>
        </w:tc>
      </w:tr>
      <w:tr w:rsidR="00220CE9" w:rsidRPr="00220CE9" w14:paraId="2688E8A9"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490022CA" w14:textId="141997AC" w:rsidR="00220CE9" w:rsidRPr="00220CE9" w:rsidRDefault="00220CE9" w:rsidP="00934994">
            <w:pPr>
              <w:rPr>
                <w:rFonts w:asciiTheme="minorHAnsi" w:hAnsiTheme="minorHAnsi" w:cstheme="minorHAnsi"/>
                <w:b w:val="0"/>
                <w:sz w:val="22"/>
                <w:szCs w:val="22"/>
              </w:rPr>
            </w:pPr>
            <w:r w:rsidRPr="00614EF9">
              <w:rPr>
                <w:rFonts w:asciiTheme="minorHAnsi" w:hAnsiTheme="minorHAnsi" w:cstheme="minorHAnsi"/>
                <w:b w:val="0"/>
                <w:sz w:val="22"/>
                <w:szCs w:val="22"/>
              </w:rPr>
              <w:t>Training workshop on systems modelling for NARS in India, Sept 5-6, 2019</w:t>
            </w:r>
          </w:p>
        </w:tc>
        <w:tc>
          <w:tcPr>
            <w:tcW w:w="2316" w:type="dxa"/>
          </w:tcPr>
          <w:p w14:paraId="25436BBD" w14:textId="3A25E60B"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Women: 1; Men: 4</w:t>
            </w:r>
          </w:p>
        </w:tc>
      </w:tr>
      <w:tr w:rsidR="00220CE9" w:rsidRPr="00220CE9" w14:paraId="62CDAB89"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6E99D18E" w14:textId="0FFBC837" w:rsidR="00220CE9" w:rsidRPr="00614EF9" w:rsidRDefault="00220CE9" w:rsidP="00220CE9">
            <w:pPr>
              <w:rPr>
                <w:rFonts w:asciiTheme="minorHAnsi" w:hAnsiTheme="minorHAnsi" w:cstheme="minorHAnsi"/>
                <w:b w:val="0"/>
                <w:sz w:val="22"/>
                <w:szCs w:val="22"/>
              </w:rPr>
            </w:pPr>
            <w:r w:rsidRPr="00614EF9">
              <w:rPr>
                <w:rFonts w:asciiTheme="minorHAnsi" w:hAnsiTheme="minorHAnsi" w:cstheme="minorHAnsi"/>
                <w:b w:val="0"/>
                <w:sz w:val="22"/>
                <w:szCs w:val="22"/>
              </w:rPr>
              <w:t>One day hands on training about CLEM CSIRO, Australia on 18 October, 2019</w:t>
            </w:r>
          </w:p>
        </w:tc>
        <w:tc>
          <w:tcPr>
            <w:tcW w:w="2316" w:type="dxa"/>
          </w:tcPr>
          <w:p w14:paraId="1E09389D" w14:textId="641120D0" w:rsid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Men 4</w:t>
            </w:r>
          </w:p>
        </w:tc>
      </w:tr>
      <w:tr w:rsidR="00220CE9" w:rsidRPr="00220CE9" w14:paraId="315C1FED"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5FAFFF9D" w14:textId="59AD592E" w:rsidR="00220CE9" w:rsidRPr="00220CE9" w:rsidRDefault="00614EF9" w:rsidP="00614EF9">
            <w:pPr>
              <w:rPr>
                <w:rFonts w:asciiTheme="minorHAnsi" w:hAnsiTheme="minorHAnsi" w:cstheme="minorHAnsi"/>
                <w:b w:val="0"/>
                <w:sz w:val="22"/>
                <w:szCs w:val="22"/>
              </w:rPr>
            </w:pPr>
            <w:r w:rsidRPr="00614EF9">
              <w:rPr>
                <w:rFonts w:asciiTheme="minorHAnsi" w:hAnsiTheme="minorHAnsi" w:cstheme="minorHAnsi"/>
                <w:b w:val="0"/>
                <w:sz w:val="22"/>
                <w:szCs w:val="22"/>
              </w:rPr>
              <w:t xml:space="preserve">Masters students guided one from India and one from SLU were trained on sustainability assessment and submitted their thesis.  </w:t>
            </w:r>
          </w:p>
        </w:tc>
        <w:tc>
          <w:tcPr>
            <w:tcW w:w="2316" w:type="dxa"/>
          </w:tcPr>
          <w:p w14:paraId="7DEE1302" w14:textId="4DB207BF" w:rsidR="00220CE9" w:rsidRPr="00220CE9" w:rsidRDefault="00614EF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Women 2</w:t>
            </w:r>
          </w:p>
        </w:tc>
      </w:tr>
      <w:tr w:rsidR="00220CE9" w:rsidRPr="00220CE9" w14:paraId="5A1E891C"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364185AA" w14:textId="6DAE664C" w:rsidR="00220CE9" w:rsidRPr="00220CE9" w:rsidRDefault="00614EF9" w:rsidP="00934994">
            <w:pPr>
              <w:rPr>
                <w:rFonts w:asciiTheme="minorHAnsi" w:hAnsiTheme="minorHAnsi" w:cstheme="minorHAnsi"/>
                <w:b w:val="0"/>
                <w:sz w:val="22"/>
                <w:szCs w:val="22"/>
              </w:rPr>
            </w:pPr>
            <w:r>
              <w:rPr>
                <w:rFonts w:asciiTheme="minorHAnsi" w:hAnsiTheme="minorHAnsi" w:cstheme="minorHAnsi"/>
                <w:b w:val="0"/>
                <w:sz w:val="22"/>
                <w:szCs w:val="22"/>
              </w:rPr>
              <w:t>One Master students capacity built on Agri-food systems assessment</w:t>
            </w:r>
          </w:p>
        </w:tc>
        <w:tc>
          <w:tcPr>
            <w:tcW w:w="2316" w:type="dxa"/>
          </w:tcPr>
          <w:p w14:paraId="0AB197F0" w14:textId="4ACC0219" w:rsidR="00220CE9" w:rsidRPr="00220CE9" w:rsidRDefault="00614EF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Woman 1</w:t>
            </w:r>
          </w:p>
        </w:tc>
      </w:tr>
      <w:tr w:rsidR="00220CE9" w:rsidRPr="00220CE9" w14:paraId="3BB850D3"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607ED67B" w14:textId="77777777" w:rsidR="00220CE9" w:rsidRPr="00220CE9" w:rsidRDefault="00220CE9" w:rsidP="00934994">
            <w:pPr>
              <w:pStyle w:val="NoSpacing"/>
              <w:spacing w:line="252" w:lineRule="auto"/>
              <w:rPr>
                <w:rFonts w:cstheme="minorHAnsi"/>
                <w:b w:val="0"/>
              </w:rPr>
            </w:pPr>
            <w:r w:rsidRPr="00220CE9">
              <w:rPr>
                <w:rFonts w:cstheme="minorHAnsi"/>
                <w:b w:val="0"/>
              </w:rPr>
              <w:t>Masters students and Ph.D. Student on crop-livestock systems, WUR</w:t>
            </w:r>
          </w:p>
          <w:p w14:paraId="7CF70851" w14:textId="77777777" w:rsidR="00220CE9" w:rsidRPr="00220CE9" w:rsidRDefault="00220CE9" w:rsidP="00934994">
            <w:pPr>
              <w:rPr>
                <w:rFonts w:asciiTheme="minorHAnsi" w:hAnsiTheme="minorHAnsi" w:cstheme="minorHAnsi"/>
                <w:b w:val="0"/>
                <w:sz w:val="22"/>
                <w:szCs w:val="22"/>
              </w:rPr>
            </w:pPr>
          </w:p>
        </w:tc>
        <w:tc>
          <w:tcPr>
            <w:tcW w:w="2316" w:type="dxa"/>
          </w:tcPr>
          <w:p w14:paraId="2C071140" w14:textId="77777777"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0CE9">
              <w:rPr>
                <w:rFonts w:asciiTheme="minorHAnsi" w:hAnsiTheme="minorHAnsi" w:cstheme="minorHAnsi"/>
                <w:sz w:val="22"/>
                <w:szCs w:val="22"/>
              </w:rPr>
              <w:t xml:space="preserve">Masters students: 1; </w:t>
            </w:r>
          </w:p>
          <w:p w14:paraId="262D879D" w14:textId="77777777"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0CE9">
              <w:rPr>
                <w:rFonts w:asciiTheme="minorHAnsi" w:hAnsiTheme="minorHAnsi" w:cstheme="minorHAnsi"/>
                <w:sz w:val="22"/>
                <w:szCs w:val="22"/>
              </w:rPr>
              <w:t>Ph.D. Student: 1</w:t>
            </w:r>
          </w:p>
        </w:tc>
      </w:tr>
      <w:tr w:rsidR="00220CE9" w:rsidRPr="00220CE9" w14:paraId="287BCC5E"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290190BC" w14:textId="77777777" w:rsidR="00220CE9" w:rsidRPr="00220CE9" w:rsidRDefault="00220CE9" w:rsidP="00934994">
            <w:pPr>
              <w:rPr>
                <w:rFonts w:asciiTheme="minorHAnsi" w:hAnsiTheme="minorHAnsi" w:cstheme="minorHAnsi"/>
                <w:b w:val="0"/>
                <w:sz w:val="22"/>
                <w:szCs w:val="22"/>
              </w:rPr>
            </w:pPr>
            <w:r w:rsidRPr="00220CE9">
              <w:rPr>
                <w:rFonts w:asciiTheme="minorHAnsi" w:hAnsiTheme="minorHAnsi" w:cstheme="minorHAnsi"/>
                <w:b w:val="0"/>
                <w:sz w:val="22"/>
                <w:szCs w:val="22"/>
              </w:rPr>
              <w:t>Masters students and Ph.D. Student  on Biotic stress management in Chick pea, ICARDA</w:t>
            </w:r>
          </w:p>
        </w:tc>
        <w:tc>
          <w:tcPr>
            <w:tcW w:w="2316" w:type="dxa"/>
          </w:tcPr>
          <w:p w14:paraId="3C1A4D38" w14:textId="77777777"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0CE9">
              <w:rPr>
                <w:rFonts w:asciiTheme="minorHAnsi" w:hAnsiTheme="minorHAnsi" w:cstheme="minorHAnsi"/>
                <w:sz w:val="22"/>
                <w:szCs w:val="22"/>
              </w:rPr>
              <w:t xml:space="preserve">Masters students: 1; </w:t>
            </w:r>
          </w:p>
          <w:p w14:paraId="58113DC6" w14:textId="77777777"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0CE9">
              <w:rPr>
                <w:rFonts w:asciiTheme="minorHAnsi" w:hAnsiTheme="minorHAnsi" w:cstheme="minorHAnsi"/>
                <w:sz w:val="22"/>
                <w:szCs w:val="22"/>
              </w:rPr>
              <w:t>Ph.D. Student: 2</w:t>
            </w:r>
          </w:p>
        </w:tc>
      </w:tr>
      <w:tr w:rsidR="00220CE9" w:rsidRPr="00220CE9" w14:paraId="5DEB8F48"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305BFA28" w14:textId="77777777" w:rsidR="00220CE9" w:rsidRPr="00220CE9" w:rsidRDefault="00220CE9" w:rsidP="00934994">
            <w:pPr>
              <w:pStyle w:val="NoSpacing"/>
              <w:spacing w:line="252" w:lineRule="auto"/>
              <w:rPr>
                <w:rFonts w:cstheme="minorHAnsi"/>
                <w:b w:val="0"/>
              </w:rPr>
            </w:pPr>
            <w:r w:rsidRPr="00220CE9">
              <w:rPr>
                <w:rFonts w:cstheme="minorHAnsi"/>
                <w:b w:val="0"/>
              </w:rPr>
              <w:lastRenderedPageBreak/>
              <w:t>Ph.D. Student start working on Biomass fluxes in Burkina Faso, WUR</w:t>
            </w:r>
          </w:p>
          <w:p w14:paraId="5398995C" w14:textId="77777777" w:rsidR="00220CE9" w:rsidRPr="00220CE9" w:rsidRDefault="00220CE9" w:rsidP="00934994">
            <w:pPr>
              <w:pStyle w:val="NoSpacing"/>
              <w:spacing w:line="252" w:lineRule="auto"/>
              <w:rPr>
                <w:rFonts w:cstheme="minorHAnsi"/>
                <w:b w:val="0"/>
              </w:rPr>
            </w:pPr>
          </w:p>
        </w:tc>
        <w:tc>
          <w:tcPr>
            <w:tcW w:w="2316" w:type="dxa"/>
          </w:tcPr>
          <w:p w14:paraId="20404D8B" w14:textId="77777777"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0CE9">
              <w:rPr>
                <w:rFonts w:asciiTheme="minorHAnsi" w:hAnsiTheme="minorHAnsi" w:cstheme="minorHAnsi"/>
                <w:sz w:val="22"/>
                <w:szCs w:val="22"/>
              </w:rPr>
              <w:t>Ph.D. Student: 1</w:t>
            </w:r>
          </w:p>
        </w:tc>
      </w:tr>
      <w:tr w:rsidR="00220CE9" w:rsidRPr="00220CE9" w14:paraId="17B41F32"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30E4A96E" w14:textId="7E931AEC" w:rsidR="00220CE9" w:rsidRPr="00220CE9" w:rsidRDefault="00220CE9" w:rsidP="00934994">
            <w:pPr>
              <w:pStyle w:val="NoSpacing"/>
              <w:spacing w:line="252" w:lineRule="auto"/>
              <w:rPr>
                <w:rFonts w:cstheme="minorHAnsi"/>
                <w:b w:val="0"/>
              </w:rPr>
            </w:pPr>
            <w:r w:rsidRPr="00220CE9">
              <w:rPr>
                <w:rFonts w:cstheme="minorHAnsi"/>
                <w:b w:val="0"/>
              </w:rPr>
              <w:t>Ph.D. Student  on Agro-ecosystems yield monitoring and socioeconomic characterization- CIRAD</w:t>
            </w:r>
          </w:p>
        </w:tc>
        <w:tc>
          <w:tcPr>
            <w:tcW w:w="2316" w:type="dxa"/>
          </w:tcPr>
          <w:p w14:paraId="4F44A67E" w14:textId="14D31A1B" w:rsidR="00220CE9" w:rsidRPr="00220CE9" w:rsidRDefault="00220CE9" w:rsidP="009349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0CE9">
              <w:rPr>
                <w:rFonts w:asciiTheme="minorHAnsi" w:hAnsiTheme="minorHAnsi" w:cstheme="minorHAnsi"/>
                <w:sz w:val="22"/>
                <w:szCs w:val="22"/>
              </w:rPr>
              <w:t>Ph.D. Student: 1</w:t>
            </w:r>
          </w:p>
        </w:tc>
      </w:tr>
      <w:tr w:rsidR="00614EF9" w:rsidRPr="00220CE9" w14:paraId="71FDE5A1"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1CB360C3" w14:textId="133D76FA" w:rsidR="00614EF9" w:rsidRPr="00614EF9" w:rsidRDefault="00614EF9" w:rsidP="00614EF9">
            <w:pPr>
              <w:rPr>
                <w:rFonts w:asciiTheme="minorHAnsi" w:eastAsiaTheme="minorHAnsi" w:hAnsiTheme="minorHAnsi" w:cstheme="minorHAnsi"/>
                <w:b w:val="0"/>
                <w:sz w:val="22"/>
                <w:szCs w:val="22"/>
              </w:rPr>
            </w:pPr>
            <w:r w:rsidRPr="00614EF9">
              <w:rPr>
                <w:rFonts w:asciiTheme="minorHAnsi" w:eastAsiaTheme="minorHAnsi" w:hAnsiTheme="minorHAnsi" w:cstheme="minorHAnsi"/>
                <w:b w:val="0"/>
                <w:sz w:val="22"/>
                <w:szCs w:val="22"/>
              </w:rPr>
              <w:t>Three Masters students of Agricultural Economics from the University of Zimbabwe supervised</w:t>
            </w:r>
          </w:p>
          <w:p w14:paraId="50677C45" w14:textId="1B5A4239" w:rsidR="00614EF9" w:rsidRPr="00614EF9" w:rsidRDefault="00614EF9" w:rsidP="00614EF9">
            <w:pPr>
              <w:rPr>
                <w:rFonts w:asciiTheme="minorHAnsi" w:eastAsiaTheme="minorHAnsi" w:hAnsiTheme="minorHAnsi" w:cstheme="minorHAnsi"/>
                <w:b w:val="0"/>
                <w:sz w:val="22"/>
                <w:szCs w:val="22"/>
              </w:rPr>
            </w:pPr>
          </w:p>
        </w:tc>
        <w:tc>
          <w:tcPr>
            <w:tcW w:w="2316" w:type="dxa"/>
          </w:tcPr>
          <w:p w14:paraId="2D174D51" w14:textId="7D33C43D" w:rsidR="00614EF9" w:rsidRPr="00614EF9" w:rsidRDefault="00614EF9" w:rsidP="0093499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sz w:val="22"/>
                <w:szCs w:val="22"/>
              </w:rPr>
            </w:pPr>
            <w:r w:rsidRPr="00614EF9">
              <w:rPr>
                <w:rFonts w:asciiTheme="minorHAnsi" w:eastAsiaTheme="minorHAnsi" w:hAnsiTheme="minorHAnsi" w:cstheme="minorHAnsi"/>
                <w:bCs/>
                <w:sz w:val="22"/>
                <w:szCs w:val="22"/>
              </w:rPr>
              <w:t>Men 3</w:t>
            </w:r>
          </w:p>
        </w:tc>
      </w:tr>
      <w:tr w:rsidR="00614EF9" w:rsidRPr="00220CE9" w14:paraId="5BE94401"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28E24B9E" w14:textId="77777777" w:rsidR="00614EF9" w:rsidRPr="00614EF9" w:rsidRDefault="00614EF9" w:rsidP="00614EF9">
            <w:pPr>
              <w:rPr>
                <w:rFonts w:asciiTheme="minorHAnsi" w:eastAsiaTheme="minorHAnsi" w:hAnsiTheme="minorHAnsi" w:cstheme="minorHAnsi"/>
                <w:b w:val="0"/>
                <w:sz w:val="22"/>
                <w:szCs w:val="22"/>
              </w:rPr>
            </w:pPr>
            <w:r w:rsidRPr="00614EF9">
              <w:rPr>
                <w:rFonts w:asciiTheme="minorHAnsi" w:eastAsiaTheme="minorHAnsi" w:hAnsiTheme="minorHAnsi" w:cstheme="minorHAnsi"/>
                <w:b w:val="0"/>
                <w:sz w:val="22"/>
                <w:szCs w:val="22"/>
              </w:rPr>
              <w:t>Two master students from Mali and 1 PhD student from Burkina Faso</w:t>
            </w:r>
          </w:p>
          <w:p w14:paraId="18203F23" w14:textId="77777777" w:rsidR="00614EF9" w:rsidRPr="00614EF9" w:rsidRDefault="00614EF9" w:rsidP="00614EF9">
            <w:pPr>
              <w:rPr>
                <w:rFonts w:asciiTheme="minorHAnsi" w:eastAsiaTheme="minorHAnsi" w:hAnsiTheme="minorHAnsi" w:cstheme="minorHAnsi"/>
                <w:b w:val="0"/>
                <w:sz w:val="22"/>
                <w:szCs w:val="22"/>
              </w:rPr>
            </w:pPr>
          </w:p>
        </w:tc>
        <w:tc>
          <w:tcPr>
            <w:tcW w:w="2316" w:type="dxa"/>
          </w:tcPr>
          <w:p w14:paraId="2822D8F0" w14:textId="30D3F316" w:rsidR="00614EF9" w:rsidRPr="00614EF9" w:rsidRDefault="00614EF9" w:rsidP="0093499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sz w:val="22"/>
                <w:szCs w:val="22"/>
              </w:rPr>
            </w:pPr>
            <w:r w:rsidRPr="00614EF9">
              <w:rPr>
                <w:rFonts w:asciiTheme="minorHAnsi" w:eastAsiaTheme="minorHAnsi" w:hAnsiTheme="minorHAnsi" w:cstheme="minorHAnsi"/>
                <w:bCs/>
                <w:sz w:val="22"/>
                <w:szCs w:val="22"/>
              </w:rPr>
              <w:t>Woman 1; Man 1</w:t>
            </w:r>
          </w:p>
        </w:tc>
      </w:tr>
      <w:tr w:rsidR="00220CE9" w:rsidRPr="00220CE9" w14:paraId="19437D05"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29A322A8" w14:textId="711FEA89" w:rsidR="00220CE9" w:rsidRPr="00220CE9" w:rsidRDefault="00220CE9" w:rsidP="00934994">
            <w:pPr>
              <w:pStyle w:val="NoSpacing"/>
              <w:spacing w:line="252" w:lineRule="auto"/>
              <w:rPr>
                <w:rFonts w:cstheme="minorHAnsi"/>
                <w:b w:val="0"/>
              </w:rPr>
            </w:pPr>
            <w:r w:rsidRPr="00220CE9">
              <w:rPr>
                <w:rFonts w:cstheme="minorHAnsi"/>
                <w:b w:val="0"/>
              </w:rPr>
              <w:t>Multi-</w:t>
            </w:r>
            <w:r w:rsidR="00614EF9" w:rsidRPr="00220CE9">
              <w:rPr>
                <w:rFonts w:cstheme="minorHAnsi"/>
                <w:b w:val="0"/>
              </w:rPr>
              <w:t>stakeholders’</w:t>
            </w:r>
            <w:r w:rsidRPr="00220CE9">
              <w:rPr>
                <w:rFonts w:cstheme="minorHAnsi"/>
                <w:b w:val="0"/>
              </w:rPr>
              <w:t xml:space="preserve"> platforms established in Niger and Burkina Faso on Crop-livestock systems and sustainable</w:t>
            </w:r>
            <w:r w:rsidR="00614EF9">
              <w:rPr>
                <w:rFonts w:cstheme="minorHAnsi"/>
                <w:b w:val="0"/>
              </w:rPr>
              <w:t xml:space="preserve"> intensification and organized IP meeting March 2019</w:t>
            </w:r>
          </w:p>
        </w:tc>
        <w:tc>
          <w:tcPr>
            <w:tcW w:w="2316" w:type="dxa"/>
          </w:tcPr>
          <w:p w14:paraId="72754E23" w14:textId="0E4CE81B" w:rsidR="00220CE9" w:rsidRPr="00614EF9" w:rsidRDefault="00614EF9" w:rsidP="0093499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sz w:val="22"/>
                <w:szCs w:val="22"/>
              </w:rPr>
            </w:pPr>
            <w:r w:rsidRPr="00614EF9">
              <w:rPr>
                <w:rFonts w:asciiTheme="minorHAnsi" w:eastAsiaTheme="minorHAnsi" w:hAnsiTheme="minorHAnsi" w:cstheme="minorHAnsi"/>
                <w:bCs/>
                <w:sz w:val="22"/>
                <w:szCs w:val="22"/>
              </w:rPr>
              <w:t>Women 8; Men 25</w:t>
            </w:r>
          </w:p>
        </w:tc>
      </w:tr>
      <w:tr w:rsidR="00220CE9" w:rsidRPr="00220CE9" w14:paraId="49DF10D8"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4D1FD64C" w14:textId="425E514F" w:rsidR="00220CE9" w:rsidRPr="00220CE9" w:rsidRDefault="00614EF9" w:rsidP="00934994">
            <w:pPr>
              <w:pStyle w:val="NoSpacing"/>
              <w:spacing w:line="252" w:lineRule="auto"/>
              <w:rPr>
                <w:rFonts w:cstheme="minorHAnsi"/>
                <w:b w:val="0"/>
              </w:rPr>
            </w:pPr>
            <w:r w:rsidRPr="00614EF9">
              <w:rPr>
                <w:rFonts w:cstheme="minorHAnsi"/>
                <w:b w:val="0"/>
              </w:rPr>
              <w:t>One day training on additional data collection for estimation of sustainability index have been conducted on December, 2019</w:t>
            </w:r>
          </w:p>
        </w:tc>
        <w:tc>
          <w:tcPr>
            <w:tcW w:w="2316" w:type="dxa"/>
          </w:tcPr>
          <w:p w14:paraId="596D0543" w14:textId="0BAB457B" w:rsidR="00220CE9" w:rsidRPr="00614EF9" w:rsidRDefault="00614EF9" w:rsidP="00614EF9">
            <w:pPr>
              <w:pStyle w:val="NoSpacing"/>
              <w:spacing w:line="252" w:lineRule="auto"/>
              <w:ind w:left="323" w:hanging="323"/>
              <w:cnfStyle w:val="000000000000" w:firstRow="0" w:lastRow="0" w:firstColumn="0" w:lastColumn="0" w:oddVBand="0" w:evenVBand="0" w:oddHBand="0" w:evenHBand="0" w:firstRowFirstColumn="0" w:firstRowLastColumn="0" w:lastRowFirstColumn="0" w:lastRowLastColumn="0"/>
              <w:rPr>
                <w:rFonts w:cstheme="minorHAnsi"/>
                <w:bCs/>
              </w:rPr>
            </w:pPr>
            <w:r w:rsidRPr="00614EF9">
              <w:rPr>
                <w:rFonts w:cstheme="minorHAnsi"/>
                <w:bCs/>
              </w:rPr>
              <w:t>Men: 8</w:t>
            </w:r>
          </w:p>
          <w:p w14:paraId="466FCB82" w14:textId="77777777" w:rsidR="00220CE9" w:rsidRPr="00614EF9" w:rsidRDefault="00220CE9" w:rsidP="00614EF9">
            <w:pPr>
              <w:ind w:hanging="323"/>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sz w:val="22"/>
                <w:szCs w:val="22"/>
              </w:rPr>
            </w:pPr>
          </w:p>
        </w:tc>
      </w:tr>
      <w:tr w:rsidR="00614EF9" w:rsidRPr="00220CE9" w14:paraId="3E74237A" w14:textId="77777777" w:rsidTr="00614EF9">
        <w:tc>
          <w:tcPr>
            <w:cnfStyle w:val="001000000000" w:firstRow="0" w:lastRow="0" w:firstColumn="1" w:lastColumn="0" w:oddVBand="0" w:evenVBand="0" w:oddHBand="0" w:evenHBand="0" w:firstRowFirstColumn="0" w:firstRowLastColumn="0" w:lastRowFirstColumn="0" w:lastRowLastColumn="0"/>
            <w:tcW w:w="6516" w:type="dxa"/>
          </w:tcPr>
          <w:p w14:paraId="624C065E" w14:textId="392BA75C" w:rsidR="00614EF9" w:rsidRPr="00614EF9" w:rsidRDefault="00614EF9" w:rsidP="00614EF9">
            <w:pPr>
              <w:pStyle w:val="NoSpacing"/>
              <w:spacing w:line="252" w:lineRule="auto"/>
              <w:rPr>
                <w:rFonts w:cstheme="minorHAnsi"/>
                <w:b w:val="0"/>
              </w:rPr>
            </w:pPr>
            <w:r w:rsidRPr="00614EF9">
              <w:rPr>
                <w:rFonts w:cstheme="minorHAnsi"/>
                <w:b w:val="0"/>
              </w:rPr>
              <w:t>Four-day</w:t>
            </w:r>
            <w:r w:rsidR="00E25AB1">
              <w:rPr>
                <w:rFonts w:cstheme="minorHAnsi"/>
                <w:b w:val="0"/>
              </w:rPr>
              <w:t>s</w:t>
            </w:r>
            <w:r w:rsidRPr="00614EF9">
              <w:rPr>
                <w:rFonts w:cstheme="minorHAnsi"/>
                <w:b w:val="0"/>
              </w:rPr>
              <w:t xml:space="preserve"> training on application of R software August, 2019 (2 day) and November, 2019 (2 day). </w:t>
            </w:r>
          </w:p>
        </w:tc>
        <w:tc>
          <w:tcPr>
            <w:tcW w:w="2316" w:type="dxa"/>
          </w:tcPr>
          <w:p w14:paraId="199D312C" w14:textId="69CBA80D" w:rsidR="00614EF9" w:rsidRPr="00614EF9" w:rsidRDefault="00614EF9" w:rsidP="00614EF9">
            <w:pPr>
              <w:pStyle w:val="NoSpacing"/>
              <w:spacing w:line="252" w:lineRule="auto"/>
              <w:ind w:left="323" w:hanging="323"/>
              <w:cnfStyle w:val="000000000000" w:firstRow="0" w:lastRow="0" w:firstColumn="0" w:lastColumn="0" w:oddVBand="0" w:evenVBand="0" w:oddHBand="0" w:evenHBand="0" w:firstRowFirstColumn="0" w:firstRowLastColumn="0" w:lastRowFirstColumn="0" w:lastRowLastColumn="0"/>
              <w:rPr>
                <w:rFonts w:cstheme="minorHAnsi"/>
                <w:bCs/>
              </w:rPr>
            </w:pPr>
            <w:r w:rsidRPr="00614EF9">
              <w:rPr>
                <w:rFonts w:cstheme="minorHAnsi"/>
                <w:bCs/>
              </w:rPr>
              <w:t>Women 4; Men 11</w:t>
            </w:r>
          </w:p>
        </w:tc>
      </w:tr>
    </w:tbl>
    <w:p w14:paraId="0D960769" w14:textId="77777777" w:rsidR="00220CE9" w:rsidRDefault="00220CE9" w:rsidP="00220CE9"/>
    <w:p w14:paraId="694EB8DD" w14:textId="77777777" w:rsidR="00714E51" w:rsidRDefault="00714E51" w:rsidP="006E40C8"/>
    <w:p w14:paraId="3B7F98E0" w14:textId="77777777" w:rsidR="006E40C8" w:rsidRPr="00614496" w:rsidRDefault="006E40C8" w:rsidP="006E40C8">
      <w:pPr>
        <w:pStyle w:val="Heading1"/>
        <w:rPr>
          <w:color w:val="BFBFBF" w:themeColor="background1" w:themeShade="BF"/>
          <w:sz w:val="24"/>
        </w:rPr>
      </w:pPr>
      <w:bookmarkStart w:id="22" w:name="_Toc535553044"/>
      <w:bookmarkStart w:id="23" w:name="_Toc535554723"/>
      <w:bookmarkStart w:id="24" w:name="_Toc535554945"/>
      <w:bookmarkStart w:id="25" w:name="_Toc535554986"/>
      <w:r w:rsidRPr="00614496">
        <w:rPr>
          <w:color w:val="BFBFBF" w:themeColor="background1" w:themeShade="BF"/>
          <w:sz w:val="24"/>
        </w:rPr>
        <w:t>MAIN ACHIEVEMENTS WITH CLIMATE CHANGE RELEVANCE</w:t>
      </w:r>
      <w:bookmarkEnd w:id="22"/>
      <w:bookmarkEnd w:id="23"/>
      <w:bookmarkEnd w:id="24"/>
      <w:bookmarkEnd w:id="25"/>
    </w:p>
    <w:p w14:paraId="2918A2D7" w14:textId="77777777" w:rsidR="006E40C8" w:rsidRDefault="006E40C8" w:rsidP="006E40C8">
      <w:r>
        <w:t>When possible, make reference to innovations reported, milestones completed, outcome cases or policy influence reported</w:t>
      </w:r>
    </w:p>
    <w:p w14:paraId="312BE74D" w14:textId="382F378E" w:rsidR="006E40C8" w:rsidRDefault="006E40C8" w:rsidP="006E40C8">
      <w:r>
        <w:t>MAX 1500 characters</w:t>
      </w:r>
    </w:p>
    <w:p w14:paraId="38236EA3" w14:textId="7FF6C0E0" w:rsidR="00BC582E" w:rsidRDefault="00BC582E" w:rsidP="009E084C">
      <w:pPr>
        <w:pStyle w:val="NoSpacing"/>
        <w:numPr>
          <w:ilvl w:val="0"/>
          <w:numId w:val="2"/>
        </w:numPr>
        <w:ind w:left="285" w:hanging="270"/>
        <w:rPr>
          <w:rFonts w:eastAsia="Calibri"/>
        </w:rPr>
      </w:pPr>
      <w:r>
        <w:t>W</w:t>
      </w:r>
      <w:r w:rsidRPr="009D0A2E">
        <w:t>e developed and piloted systems modelling frameworks (crop modelling, and whole farm bio-economic modelling) to support the upscaling of climate smart</w:t>
      </w:r>
      <w:r w:rsidR="008C2096">
        <w:t xml:space="preserve"> agriculture in semi-arid India as well as Niger in west Africa. </w:t>
      </w:r>
      <w:r>
        <w:t>We have also initiated building capacity of extension system on systems modelling tools.</w:t>
      </w:r>
      <w:r w:rsidRPr="008C2096">
        <w:rPr>
          <w:rFonts w:eastAsia="Calibri"/>
        </w:rPr>
        <w:t xml:space="preserve"> </w:t>
      </w:r>
    </w:p>
    <w:p w14:paraId="38525E64" w14:textId="2CCC0210" w:rsidR="008C2096" w:rsidRPr="008C2096" w:rsidRDefault="008C2096" w:rsidP="008C2096">
      <w:pPr>
        <w:pStyle w:val="NoSpacing"/>
        <w:numPr>
          <w:ilvl w:val="0"/>
          <w:numId w:val="2"/>
        </w:numPr>
        <w:ind w:left="285" w:hanging="270"/>
      </w:pPr>
      <w:r w:rsidRPr="008C2096">
        <w:rPr>
          <w:rFonts w:eastAsia="Calibri"/>
        </w:rPr>
        <w:t xml:space="preserve">Our activity on harnessing multiple data sources for integration of analytical methods and modelling to develop spatially and temporally targeted agronomic packages, recommendations for crop traits and interventions particularly target minimizing climate risk.  </w:t>
      </w:r>
      <w:r w:rsidRPr="00B838DF">
        <w:t>These outputs are being used to enable breeders to target crop traits and design product profiles, enable agronomists and extension to develop agronomic packages for sustainable intensification considering climate, soils and sustainability.</w:t>
      </w:r>
    </w:p>
    <w:p w14:paraId="0673268B" w14:textId="77777777" w:rsidR="00714E51" w:rsidRDefault="00714E51" w:rsidP="006E40C8"/>
    <w:p w14:paraId="7C553C9A" w14:textId="77777777" w:rsidR="006E40C8" w:rsidRPr="00614496" w:rsidRDefault="006E40C8" w:rsidP="006E40C8">
      <w:pPr>
        <w:pStyle w:val="Heading1"/>
        <w:rPr>
          <w:color w:val="BFBFBF" w:themeColor="background1" w:themeShade="BF"/>
          <w:sz w:val="24"/>
        </w:rPr>
      </w:pPr>
      <w:bookmarkStart w:id="26" w:name="_Toc535553045"/>
      <w:bookmarkStart w:id="27" w:name="_Toc535554724"/>
      <w:bookmarkStart w:id="28" w:name="_Toc535554946"/>
      <w:bookmarkStart w:id="29" w:name="_Toc535554987"/>
      <w:r w:rsidRPr="00614496">
        <w:rPr>
          <w:color w:val="BFBFBF" w:themeColor="background1" w:themeShade="BF"/>
          <w:sz w:val="24"/>
        </w:rPr>
        <w:t>MAIN GAPS AND CHALLENGES</w:t>
      </w:r>
      <w:bookmarkEnd w:id="26"/>
      <w:bookmarkEnd w:id="27"/>
      <w:bookmarkEnd w:id="28"/>
      <w:bookmarkEnd w:id="29"/>
    </w:p>
    <w:p w14:paraId="6D02D2A8" w14:textId="77777777" w:rsidR="006E40C8" w:rsidRDefault="006E40C8" w:rsidP="006E40C8">
      <w:r>
        <w:t xml:space="preserve">Describe the main challenges/bottlenecks encountered and the deviation from your annual plan of work. </w:t>
      </w:r>
    </w:p>
    <w:p w14:paraId="20587AD5" w14:textId="77777777" w:rsidR="006E40C8" w:rsidRDefault="006E40C8" w:rsidP="006E40C8">
      <w:r>
        <w:t xml:space="preserve">Please list any relevant review or study on foresight, monitoring and evaluation that has been realized in the last 12 months at the project/cluster level and that has potentially not been implemented under cluster </w:t>
      </w:r>
      <w:r w:rsidRPr="00614496">
        <w:t xml:space="preserve">1-4: Enabling environments and scaling to accelerate impact </w:t>
      </w:r>
      <w:r>
        <w:t>(Use Annex 2 to provide this list). Provide results from these evaluations and learning processes, if any.</w:t>
      </w:r>
    </w:p>
    <w:p w14:paraId="7D6D0455" w14:textId="19FB04D6" w:rsidR="006E40C8" w:rsidRDefault="006E40C8" w:rsidP="006E40C8">
      <w:r>
        <w:t>MAX 1500</w:t>
      </w:r>
    </w:p>
    <w:p w14:paraId="72840D82" w14:textId="77777777" w:rsidR="006563C3" w:rsidRDefault="00BC582E" w:rsidP="006563C3">
      <w:pPr>
        <w:pStyle w:val="CommentText"/>
        <w:numPr>
          <w:ilvl w:val="0"/>
          <w:numId w:val="18"/>
        </w:numPr>
        <w:rPr>
          <w:rFonts w:asciiTheme="minorHAnsi" w:eastAsiaTheme="minorHAnsi" w:hAnsiTheme="minorHAnsi" w:cstheme="minorBidi"/>
          <w:sz w:val="22"/>
          <w:szCs w:val="22"/>
        </w:rPr>
      </w:pPr>
      <w:r w:rsidRPr="001E4E43">
        <w:rPr>
          <w:rFonts w:asciiTheme="minorHAnsi" w:eastAsiaTheme="minorHAnsi" w:hAnsiTheme="minorHAnsi" w:cstheme="minorBidi"/>
          <w:sz w:val="22"/>
          <w:szCs w:val="22"/>
        </w:rPr>
        <w:t xml:space="preserve">A main challenge for the work in West Africa is the precarious security situation in </w:t>
      </w:r>
      <w:r w:rsidR="006563C3">
        <w:rPr>
          <w:rFonts w:asciiTheme="minorHAnsi" w:eastAsiaTheme="minorHAnsi" w:hAnsiTheme="minorHAnsi" w:cstheme="minorBidi"/>
          <w:sz w:val="22"/>
          <w:szCs w:val="22"/>
        </w:rPr>
        <w:t xml:space="preserve">Niger, </w:t>
      </w:r>
      <w:r w:rsidRPr="001E4E43">
        <w:rPr>
          <w:rFonts w:asciiTheme="minorHAnsi" w:eastAsiaTheme="minorHAnsi" w:hAnsiTheme="minorHAnsi" w:cstheme="minorBidi"/>
          <w:sz w:val="22"/>
          <w:szCs w:val="22"/>
        </w:rPr>
        <w:t>Burkina Faso</w:t>
      </w:r>
      <w:r w:rsidR="006563C3">
        <w:rPr>
          <w:rFonts w:asciiTheme="minorHAnsi" w:eastAsiaTheme="minorHAnsi" w:hAnsiTheme="minorHAnsi" w:cstheme="minorBidi"/>
          <w:sz w:val="22"/>
          <w:szCs w:val="22"/>
        </w:rPr>
        <w:t>, Nigeria</w:t>
      </w:r>
      <w:r w:rsidRPr="001E4E43">
        <w:rPr>
          <w:rFonts w:asciiTheme="minorHAnsi" w:eastAsiaTheme="minorHAnsi" w:hAnsiTheme="minorHAnsi" w:cstheme="minorBidi"/>
          <w:sz w:val="22"/>
          <w:szCs w:val="22"/>
        </w:rPr>
        <w:t xml:space="preserve"> and Mali in particular. </w:t>
      </w:r>
      <w:r w:rsidR="006563C3">
        <w:rPr>
          <w:rFonts w:asciiTheme="minorHAnsi" w:eastAsiaTheme="minorHAnsi" w:hAnsiTheme="minorHAnsi" w:cstheme="minorBidi"/>
          <w:sz w:val="22"/>
          <w:szCs w:val="22"/>
        </w:rPr>
        <w:t>These</w:t>
      </w:r>
      <w:r w:rsidRPr="001E4E43">
        <w:rPr>
          <w:rFonts w:asciiTheme="minorHAnsi" w:eastAsiaTheme="minorHAnsi" w:hAnsiTheme="minorHAnsi" w:cstheme="minorBidi"/>
          <w:sz w:val="22"/>
          <w:szCs w:val="22"/>
        </w:rPr>
        <w:t xml:space="preserve"> countries suffer from regular terrorist attacks, which severely restrict the safe movement of researchers and the execution of project activities. </w:t>
      </w:r>
    </w:p>
    <w:p w14:paraId="1A184A31" w14:textId="4E75613A" w:rsidR="00BC582E" w:rsidRPr="006563C3" w:rsidRDefault="00BC582E" w:rsidP="006563C3">
      <w:pPr>
        <w:pStyle w:val="CommentText"/>
        <w:numPr>
          <w:ilvl w:val="0"/>
          <w:numId w:val="18"/>
        </w:numPr>
        <w:rPr>
          <w:rFonts w:asciiTheme="minorHAnsi" w:eastAsiaTheme="minorHAnsi" w:hAnsiTheme="minorHAnsi" w:cstheme="minorBidi"/>
          <w:sz w:val="22"/>
          <w:szCs w:val="22"/>
        </w:rPr>
      </w:pPr>
      <w:r w:rsidRPr="006563C3">
        <w:rPr>
          <w:rFonts w:asciiTheme="minorHAnsi" w:eastAsiaTheme="minorHAnsi" w:hAnsiTheme="minorHAnsi" w:cstheme="minorBidi"/>
          <w:sz w:val="22"/>
          <w:szCs w:val="22"/>
        </w:rPr>
        <w:lastRenderedPageBreak/>
        <w:t>Current literature on sustainability criteria and indicators is targeting mostly goals/</w:t>
      </w:r>
      <w:r w:rsidR="008C2096">
        <w:rPr>
          <w:rFonts w:asciiTheme="minorHAnsi" w:eastAsiaTheme="minorHAnsi" w:hAnsiTheme="minorHAnsi" w:cstheme="minorBidi"/>
          <w:sz w:val="22"/>
          <w:szCs w:val="22"/>
        </w:rPr>
        <w:t xml:space="preserve"> </w:t>
      </w:r>
      <w:r w:rsidRPr="006563C3">
        <w:rPr>
          <w:rFonts w:asciiTheme="minorHAnsi" w:eastAsiaTheme="minorHAnsi" w:hAnsiTheme="minorHAnsi" w:cstheme="minorBidi"/>
          <w:sz w:val="22"/>
          <w:szCs w:val="22"/>
        </w:rPr>
        <w:t xml:space="preserve">expectations, rather than concrete solutions. There is a need for transitional research and development that involves quantifiable and easy to measure indicators/methods. </w:t>
      </w:r>
    </w:p>
    <w:p w14:paraId="30E2EBA2" w14:textId="77777777" w:rsidR="00BC582E" w:rsidRPr="009011F1" w:rsidRDefault="00BC582E" w:rsidP="00BC582E">
      <w:pPr>
        <w:pStyle w:val="NoSpacing"/>
        <w:numPr>
          <w:ilvl w:val="0"/>
          <w:numId w:val="17"/>
        </w:numPr>
        <w:spacing w:line="252" w:lineRule="auto"/>
      </w:pPr>
      <w:r w:rsidRPr="009011F1">
        <w:t xml:space="preserve">There is a notable underrepresentation of </w:t>
      </w:r>
      <w:r>
        <w:t>sustainable intensification (</w:t>
      </w:r>
      <w:r w:rsidRPr="009011F1">
        <w:t>SI</w:t>
      </w:r>
      <w:r>
        <w:t>)</w:t>
      </w:r>
      <w:r w:rsidRPr="009011F1">
        <w:t xml:space="preserve"> in economics and social sciences compared to agricultural, biological and environmental sciences. Moving to a holistic/integrated assessment will require a stronger assessment of the social and economic dimension of SI. Likewise, the current literature emphasizes the farm scale, with less attention for the landscape, community and value chain level. </w:t>
      </w:r>
    </w:p>
    <w:p w14:paraId="0C766851" w14:textId="77777777" w:rsidR="00BC582E" w:rsidRPr="009011F1" w:rsidRDefault="00BC582E" w:rsidP="00BC582E">
      <w:pPr>
        <w:pStyle w:val="NoSpacing"/>
        <w:numPr>
          <w:ilvl w:val="0"/>
          <w:numId w:val="17"/>
        </w:numPr>
        <w:spacing w:line="252" w:lineRule="auto"/>
      </w:pPr>
      <w:r w:rsidRPr="009011F1">
        <w:t>Understanding the impact/cost of non-action in terms of improved technologies, innovation systems, gender mainstreaming and lack of information access.</w:t>
      </w:r>
    </w:p>
    <w:p w14:paraId="358CA353" w14:textId="77777777" w:rsidR="00BC582E" w:rsidRPr="009011F1" w:rsidRDefault="00BC582E" w:rsidP="00BC582E">
      <w:pPr>
        <w:pStyle w:val="NoSpacing"/>
        <w:numPr>
          <w:ilvl w:val="0"/>
          <w:numId w:val="17"/>
        </w:numPr>
        <w:spacing w:line="252" w:lineRule="auto"/>
      </w:pPr>
      <w:r w:rsidRPr="009011F1">
        <w:rPr>
          <w:rFonts w:cstheme="minorHAnsi"/>
        </w:rPr>
        <w:t>Implications of mechanization in relation to feminization of agriculture</w:t>
      </w:r>
      <w:r w:rsidRPr="009011F1">
        <w:t xml:space="preserve"> </w:t>
      </w:r>
      <w:r w:rsidRPr="009011F1">
        <w:rPr>
          <w:rFonts w:cstheme="minorHAnsi"/>
        </w:rPr>
        <w:t>and its impact on nutrition and empowerment.</w:t>
      </w:r>
    </w:p>
    <w:p w14:paraId="6F626DF5" w14:textId="50C5BD94" w:rsidR="00BC582E" w:rsidRDefault="00BC582E" w:rsidP="00BC582E">
      <w:pPr>
        <w:pStyle w:val="ListParagraph"/>
        <w:numPr>
          <w:ilvl w:val="0"/>
          <w:numId w:val="17"/>
        </w:numPr>
        <w:rPr>
          <w:rFonts w:asciiTheme="minorHAnsi" w:hAnsiTheme="minorHAnsi"/>
        </w:rPr>
      </w:pPr>
      <w:r w:rsidRPr="009011F1">
        <w:rPr>
          <w:rFonts w:asciiTheme="minorHAnsi" w:hAnsiTheme="minorHAnsi"/>
        </w:rPr>
        <w:t xml:space="preserve">How to assess the impact of the nutrition knowledge tools on the key knowledge </w:t>
      </w:r>
      <w:r w:rsidR="008C2096" w:rsidRPr="009011F1">
        <w:rPr>
          <w:rFonts w:asciiTheme="minorHAnsi" w:hAnsiTheme="minorHAnsi"/>
        </w:rPr>
        <w:t>indicators?</w:t>
      </w:r>
    </w:p>
    <w:p w14:paraId="4D06B879" w14:textId="16017EE7" w:rsidR="00E25AB1" w:rsidRPr="009011F1" w:rsidRDefault="00566F50" w:rsidP="00BC582E">
      <w:pPr>
        <w:pStyle w:val="ListParagraph"/>
        <w:numPr>
          <w:ilvl w:val="0"/>
          <w:numId w:val="17"/>
        </w:numPr>
        <w:rPr>
          <w:rFonts w:asciiTheme="minorHAnsi" w:hAnsiTheme="minorHAnsi"/>
        </w:rPr>
      </w:pPr>
      <w:r>
        <w:rPr>
          <w:rFonts w:asciiTheme="minorHAnsi" w:hAnsiTheme="minorHAnsi"/>
        </w:rPr>
        <w:t>T</w:t>
      </w:r>
      <w:r w:rsidR="00E25AB1">
        <w:rPr>
          <w:rFonts w:asciiTheme="minorHAnsi" w:hAnsiTheme="minorHAnsi"/>
        </w:rPr>
        <w:t xml:space="preserve">ools and decision support systems to make an ex-ante impact assessment of recommended </w:t>
      </w:r>
      <w:r>
        <w:rPr>
          <w:rFonts w:asciiTheme="minorHAnsi" w:hAnsiTheme="minorHAnsi"/>
        </w:rPr>
        <w:t xml:space="preserve">GLDC </w:t>
      </w:r>
      <w:r w:rsidR="00E25AB1">
        <w:rPr>
          <w:rFonts w:asciiTheme="minorHAnsi" w:hAnsiTheme="minorHAnsi"/>
        </w:rPr>
        <w:t>intervention</w:t>
      </w:r>
      <w:r>
        <w:rPr>
          <w:rFonts w:asciiTheme="minorHAnsi" w:hAnsiTheme="minorHAnsi"/>
        </w:rPr>
        <w:t>s</w:t>
      </w:r>
      <w:r w:rsidR="00E25AB1">
        <w:rPr>
          <w:rFonts w:asciiTheme="minorHAnsi" w:hAnsiTheme="minorHAnsi"/>
        </w:rPr>
        <w:t xml:space="preserve"> to evaluate </w:t>
      </w:r>
      <w:r>
        <w:rPr>
          <w:rFonts w:asciiTheme="minorHAnsi" w:hAnsiTheme="minorHAnsi"/>
        </w:rPr>
        <w:t xml:space="preserve">their impact of household cash flows are not available which would be key for informed decision by </w:t>
      </w:r>
      <w:r w:rsidR="00E25AB1">
        <w:rPr>
          <w:rFonts w:asciiTheme="minorHAnsi" w:hAnsiTheme="minorHAnsi"/>
        </w:rPr>
        <w:t>agricultural extension system</w:t>
      </w:r>
      <w:r>
        <w:rPr>
          <w:rFonts w:asciiTheme="minorHAnsi" w:hAnsiTheme="minorHAnsi"/>
        </w:rPr>
        <w:t xml:space="preserve">, development actors and farmers for promoting large scale adoption of SI interventions and impacts. </w:t>
      </w:r>
    </w:p>
    <w:p w14:paraId="4DF53CBD" w14:textId="77777777" w:rsidR="00714E51" w:rsidRDefault="00714E51" w:rsidP="006E40C8"/>
    <w:p w14:paraId="5A4C319B" w14:textId="77777777" w:rsidR="006E40C8" w:rsidRPr="00614496" w:rsidRDefault="006E40C8" w:rsidP="006E40C8">
      <w:pPr>
        <w:pStyle w:val="Heading1"/>
        <w:rPr>
          <w:color w:val="BFBFBF" w:themeColor="background1" w:themeShade="BF"/>
          <w:sz w:val="24"/>
        </w:rPr>
      </w:pPr>
      <w:bookmarkStart w:id="30" w:name="_Toc535553046"/>
      <w:bookmarkStart w:id="31" w:name="_Toc535554725"/>
      <w:bookmarkStart w:id="32" w:name="_Toc535554947"/>
      <w:bookmarkStart w:id="33" w:name="_Toc535554988"/>
      <w:r w:rsidRPr="00614496">
        <w:rPr>
          <w:color w:val="BFBFBF" w:themeColor="background1" w:themeShade="BF"/>
          <w:sz w:val="24"/>
        </w:rPr>
        <w:t>MEASURES TAKEN AND ADJUSTMENTS PROPOSED</w:t>
      </w:r>
      <w:bookmarkEnd w:id="30"/>
      <w:bookmarkEnd w:id="31"/>
      <w:bookmarkEnd w:id="32"/>
      <w:bookmarkEnd w:id="33"/>
    </w:p>
    <w:p w14:paraId="3817E38C" w14:textId="77777777" w:rsidR="006E40C8" w:rsidRDefault="006E40C8" w:rsidP="006E40C8">
      <w:r>
        <w:t>Describe action taken to address challenges/bottlenecks</w:t>
      </w:r>
    </w:p>
    <w:p w14:paraId="07813C58" w14:textId="77777777" w:rsidR="006E40C8" w:rsidRDefault="006E40C8" w:rsidP="006E40C8">
      <w:r>
        <w:t>Provide an update on your theory of change if this is part of the adjustments proposed</w:t>
      </w:r>
    </w:p>
    <w:p w14:paraId="03F49E37" w14:textId="083BF655" w:rsidR="006E40C8" w:rsidRDefault="006E40C8" w:rsidP="006E40C8">
      <w:r>
        <w:t>MAX 1500 characters</w:t>
      </w:r>
    </w:p>
    <w:p w14:paraId="1ED3F4D6" w14:textId="143D87FE" w:rsidR="00BC582E" w:rsidRDefault="00BC582E" w:rsidP="00BC582E">
      <w:pPr>
        <w:pStyle w:val="NoSpacing"/>
        <w:numPr>
          <w:ilvl w:val="0"/>
          <w:numId w:val="19"/>
        </w:numPr>
        <w:spacing w:line="252" w:lineRule="auto"/>
      </w:pPr>
      <w:r>
        <w:t xml:space="preserve">To adjust to security situation, we work with local partners and identify the field locations based on due diligence. </w:t>
      </w:r>
      <w:r w:rsidR="00952796">
        <w:t>However,</w:t>
      </w:r>
      <w:r>
        <w:t xml:space="preserve"> it does affect the field work and restrict researchers’ movement in the field.</w:t>
      </w:r>
    </w:p>
    <w:p w14:paraId="4464725C" w14:textId="64C21296" w:rsidR="00BC582E" w:rsidRPr="002039BE" w:rsidRDefault="00BC582E" w:rsidP="00BC582E">
      <w:pPr>
        <w:pStyle w:val="NoSpacing"/>
        <w:numPr>
          <w:ilvl w:val="0"/>
          <w:numId w:val="19"/>
        </w:numPr>
        <w:spacing w:line="252" w:lineRule="auto"/>
      </w:pPr>
      <w:r w:rsidRPr="002039BE">
        <w:t xml:space="preserve">Integrating complementary scientific approaches, including the social and economic scientific domains, sectors’ knowledge and perceptions on </w:t>
      </w:r>
      <w:r w:rsidR="00952796">
        <w:t>farming systems</w:t>
      </w:r>
      <w:r w:rsidRPr="002039BE">
        <w:t xml:space="preserve"> sustainability</w:t>
      </w:r>
    </w:p>
    <w:p w14:paraId="5C840B3D" w14:textId="77777777" w:rsidR="00BC582E" w:rsidRPr="002039BE" w:rsidRDefault="00BC582E" w:rsidP="00BC582E">
      <w:pPr>
        <w:pStyle w:val="NoSpacing"/>
        <w:numPr>
          <w:ilvl w:val="0"/>
          <w:numId w:val="19"/>
        </w:numPr>
        <w:spacing w:line="252" w:lineRule="auto"/>
      </w:pPr>
      <w:r w:rsidRPr="002039BE">
        <w:t>Promoting and validating tools for ex-ante assessments that include scales beyond the farm</w:t>
      </w:r>
    </w:p>
    <w:p w14:paraId="50AFF881" w14:textId="060A67F7" w:rsidR="00BC582E" w:rsidRDefault="00BC582E" w:rsidP="00BC582E">
      <w:pPr>
        <w:pStyle w:val="ListParagraph"/>
        <w:numPr>
          <w:ilvl w:val="0"/>
          <w:numId w:val="19"/>
        </w:numPr>
        <w:rPr>
          <w:rFonts w:asciiTheme="minorHAnsi" w:hAnsiTheme="minorHAnsi"/>
        </w:rPr>
      </w:pPr>
      <w:r w:rsidRPr="002039BE">
        <w:rPr>
          <w:rFonts w:asciiTheme="minorHAnsi" w:hAnsiTheme="minorHAnsi"/>
        </w:rPr>
        <w:t>Assessments considering nutrition knowledge baseline</w:t>
      </w:r>
    </w:p>
    <w:p w14:paraId="22D83C27" w14:textId="40FB9DDE" w:rsidR="006563C3" w:rsidRPr="006563C3" w:rsidRDefault="006563C3" w:rsidP="006563C3">
      <w:pPr>
        <w:pStyle w:val="NoSpacing"/>
        <w:numPr>
          <w:ilvl w:val="0"/>
          <w:numId w:val="19"/>
        </w:numPr>
        <w:spacing w:line="252" w:lineRule="auto"/>
      </w:pPr>
      <w:r>
        <w:t>As suggested by IAC, w</w:t>
      </w:r>
      <w:r w:rsidR="00952796">
        <w:t xml:space="preserve">e </w:t>
      </w:r>
      <w:r>
        <w:t>have initiated a cross-cutting activity on ‘</w:t>
      </w:r>
      <w:r w:rsidRPr="006563C3">
        <w:t xml:space="preserve">Identifying opportunities from the muddle around sorghum utilization options for improving nutritional security and resilience of smallholders’ households in SAT’. </w:t>
      </w:r>
    </w:p>
    <w:p w14:paraId="58431C23" w14:textId="31732169" w:rsidR="00952796" w:rsidRPr="002039BE" w:rsidRDefault="00952796" w:rsidP="006563C3">
      <w:pPr>
        <w:pStyle w:val="NoSpacing"/>
        <w:spacing w:line="252" w:lineRule="auto"/>
        <w:ind w:left="360"/>
      </w:pPr>
    </w:p>
    <w:p w14:paraId="7F65D625" w14:textId="77777777" w:rsidR="00BC582E" w:rsidRDefault="00BC582E" w:rsidP="006E40C8"/>
    <w:p w14:paraId="5A6657D4" w14:textId="77777777" w:rsidR="006E40C8" w:rsidRPr="00614496" w:rsidRDefault="006E40C8" w:rsidP="006E40C8">
      <w:pPr>
        <w:pStyle w:val="Heading1"/>
        <w:rPr>
          <w:color w:val="BFBFBF" w:themeColor="background1" w:themeShade="BF"/>
          <w:sz w:val="24"/>
        </w:rPr>
      </w:pPr>
      <w:bookmarkStart w:id="34" w:name="_Toc535553047"/>
      <w:bookmarkStart w:id="35" w:name="_Toc535554726"/>
      <w:bookmarkStart w:id="36" w:name="_Toc535554948"/>
      <w:bookmarkStart w:id="37" w:name="_Toc535554989"/>
      <w:r w:rsidRPr="00614496">
        <w:rPr>
          <w:color w:val="BFBFBF" w:themeColor="background1" w:themeShade="BF"/>
          <w:sz w:val="24"/>
        </w:rPr>
        <w:t>PARTNESHIPS: ACHIEVEMENT AND CHALLENGES</w:t>
      </w:r>
      <w:bookmarkEnd w:id="34"/>
      <w:bookmarkEnd w:id="35"/>
      <w:bookmarkEnd w:id="36"/>
      <w:bookmarkEnd w:id="37"/>
    </w:p>
    <w:p w14:paraId="23445488" w14:textId="15ADA4CB" w:rsidR="006E40C8" w:rsidRDefault="006E40C8" w:rsidP="006E40C8">
      <w:pPr>
        <w:rPr>
          <w:rFonts w:eastAsia="Calibri"/>
        </w:rPr>
      </w:pPr>
      <w:r>
        <w:t>Please list up to three important partnerships for 201</w:t>
      </w:r>
      <w:r w:rsidR="00B92662">
        <w:t>9</w:t>
      </w:r>
      <w:r>
        <w:t>, using the following table.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444"/>
        <w:gridCol w:w="2936"/>
        <w:gridCol w:w="3622"/>
      </w:tblGrid>
      <w:tr w:rsidR="006E40C8" w:rsidRPr="005C6062" w14:paraId="3A116372" w14:textId="77777777" w:rsidTr="002D293F">
        <w:trPr>
          <w:trHeight w:val="539"/>
        </w:trPr>
        <w:tc>
          <w:tcPr>
            <w:tcW w:w="1357"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F6BAA32" w14:textId="77777777" w:rsidR="006E40C8" w:rsidRPr="00835BE3" w:rsidRDefault="006E40C8" w:rsidP="002D293F">
            <w:pPr>
              <w:keepNext/>
              <w:ind w:right="96"/>
              <w:rPr>
                <w:b/>
                <w:sz w:val="20"/>
                <w:szCs w:val="20"/>
              </w:rPr>
            </w:pPr>
            <w:r w:rsidRPr="00835BE3">
              <w:rPr>
                <w:b/>
                <w:sz w:val="20"/>
                <w:szCs w:val="20"/>
              </w:rPr>
              <w:t>Brief description of partnership aims (30 words)</w:t>
            </w:r>
          </w:p>
        </w:tc>
        <w:tc>
          <w:tcPr>
            <w:tcW w:w="1631"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6CE9E7" w14:textId="77777777" w:rsidR="006E40C8" w:rsidRPr="00835BE3" w:rsidRDefault="006E40C8" w:rsidP="002D293F">
            <w:pPr>
              <w:keepNext/>
              <w:ind w:right="96"/>
              <w:rPr>
                <w:b/>
                <w:sz w:val="20"/>
                <w:szCs w:val="20"/>
              </w:rPr>
            </w:pPr>
            <w:r w:rsidRPr="00835BE3">
              <w:rPr>
                <w:b/>
                <w:sz w:val="20"/>
                <w:szCs w:val="20"/>
              </w:rPr>
              <w:t xml:space="preserve">List of key partners in partnership (one or more partners).  Do not use acronyms. </w:t>
            </w:r>
          </w:p>
        </w:tc>
        <w:tc>
          <w:tcPr>
            <w:tcW w:w="2012"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D55FD10" w14:textId="77777777" w:rsidR="006E40C8" w:rsidRPr="00835BE3" w:rsidRDefault="006E40C8" w:rsidP="002D293F">
            <w:pPr>
              <w:keepNext/>
              <w:ind w:right="96"/>
              <w:rPr>
                <w:b/>
                <w:sz w:val="20"/>
                <w:szCs w:val="20"/>
              </w:rPr>
            </w:pPr>
            <w:r w:rsidRPr="00835BE3">
              <w:rPr>
                <w:b/>
                <w:sz w:val="20"/>
                <w:szCs w:val="20"/>
              </w:rPr>
              <w:t xml:space="preserve">Main area of partnership (may choose multiple), </w:t>
            </w:r>
          </w:p>
          <w:p w14:paraId="46DA26DA" w14:textId="77777777" w:rsidR="006E40C8" w:rsidRPr="00835BE3" w:rsidRDefault="006E40C8" w:rsidP="002D293F">
            <w:pPr>
              <w:keepNext/>
              <w:ind w:right="96"/>
              <w:rPr>
                <w:b/>
                <w:sz w:val="20"/>
                <w:szCs w:val="20"/>
              </w:rPr>
            </w:pPr>
            <w:r w:rsidRPr="00835BE3">
              <w:rPr>
                <w:b/>
                <w:sz w:val="20"/>
                <w:szCs w:val="20"/>
              </w:rPr>
              <w:t xml:space="preserve">Research/Delivery/Policy/Capacity Development/Other, please specify </w:t>
            </w:r>
          </w:p>
        </w:tc>
      </w:tr>
      <w:tr w:rsidR="00BC582E" w:rsidRPr="005C6062" w14:paraId="6A19F5DA" w14:textId="77777777" w:rsidTr="00754200">
        <w:trPr>
          <w:trHeight w:val="18"/>
        </w:trPr>
        <w:tc>
          <w:tcPr>
            <w:tcW w:w="1357"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251D5853" w14:textId="3695A11A" w:rsidR="00BC582E" w:rsidRDefault="00A14A45" w:rsidP="00BC582E">
            <w:pPr>
              <w:pStyle w:val="NoSpacing"/>
            </w:pPr>
            <w:r>
              <w:t xml:space="preserve">1. Collaborative work on framework for sustainable intensification </w:t>
            </w:r>
            <w:r w:rsidR="00BC582E">
              <w:t xml:space="preserve">and sustainability assessment </w:t>
            </w:r>
          </w:p>
          <w:p w14:paraId="71D2352D" w14:textId="77777777" w:rsidR="00BC582E" w:rsidRDefault="00BC582E" w:rsidP="00BC582E">
            <w:pPr>
              <w:pStyle w:val="NoSpacing"/>
            </w:pPr>
          </w:p>
          <w:p w14:paraId="284EF510" w14:textId="77777777" w:rsidR="00BC582E" w:rsidRDefault="00BC582E" w:rsidP="00BC582E">
            <w:pPr>
              <w:pStyle w:val="NoSpacing"/>
            </w:pPr>
            <w:r>
              <w:lastRenderedPageBreak/>
              <w:t>2. Systems modelling and capacity building through workshops</w:t>
            </w:r>
          </w:p>
          <w:p w14:paraId="781C2812" w14:textId="77777777" w:rsidR="00BC582E" w:rsidRDefault="00BC582E" w:rsidP="00BC582E">
            <w:pPr>
              <w:pStyle w:val="NoSpacing"/>
            </w:pPr>
          </w:p>
          <w:p w14:paraId="6B3A42C2" w14:textId="63972F6F" w:rsidR="00BC582E" w:rsidRDefault="00BC582E" w:rsidP="00BC582E">
            <w:pPr>
              <w:pStyle w:val="NoSpacing"/>
            </w:pPr>
            <w:r>
              <w:t>3. Contextualizing research, capacity building, linking with farmer communities</w:t>
            </w:r>
          </w:p>
          <w:p w14:paraId="351FEF02" w14:textId="77777777" w:rsidR="00BC582E" w:rsidRDefault="00BC582E" w:rsidP="00BC582E">
            <w:pPr>
              <w:pStyle w:val="NoSpacing"/>
            </w:pPr>
          </w:p>
          <w:p w14:paraId="4820D59E" w14:textId="39CDBECC" w:rsidR="00BC582E" w:rsidRPr="00835BE3" w:rsidRDefault="00BC582E" w:rsidP="00BC582E">
            <w:pPr>
              <w:pStyle w:val="NoSpacing"/>
            </w:pPr>
          </w:p>
        </w:tc>
        <w:tc>
          <w:tcPr>
            <w:tcW w:w="1631"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7C440AA8" w14:textId="24EF8976" w:rsidR="00BC582E" w:rsidRDefault="00BC582E" w:rsidP="00BC582E">
            <w:pPr>
              <w:pStyle w:val="NoSpacing"/>
            </w:pPr>
            <w:r>
              <w:lastRenderedPageBreak/>
              <w:t xml:space="preserve">ICRISAT, ICARDA, </w:t>
            </w:r>
            <w:proofErr w:type="spellStart"/>
            <w:r>
              <w:t>Wageningen</w:t>
            </w:r>
            <w:proofErr w:type="spellEnd"/>
            <w:r>
              <w:t xml:space="preserve"> University, Swedish University of </w:t>
            </w:r>
            <w:r w:rsidR="00312E1F">
              <w:t>Agricultural</w:t>
            </w:r>
            <w:r>
              <w:t xml:space="preserve"> Sciences</w:t>
            </w:r>
          </w:p>
          <w:p w14:paraId="5959C498" w14:textId="77777777" w:rsidR="00BC582E" w:rsidRDefault="00BC582E" w:rsidP="00BC582E">
            <w:pPr>
              <w:pStyle w:val="NoSpacing"/>
            </w:pPr>
          </w:p>
          <w:p w14:paraId="63D7D4E8" w14:textId="77777777" w:rsidR="00BC582E" w:rsidRDefault="00BC582E" w:rsidP="00BC582E">
            <w:pPr>
              <w:pStyle w:val="NoSpacing"/>
            </w:pPr>
            <w:r>
              <w:t>Commonwealth Scientific and Industrial Research Organization (CSIRO)</w:t>
            </w:r>
          </w:p>
          <w:p w14:paraId="6A0FB261" w14:textId="77777777" w:rsidR="00BC582E" w:rsidRDefault="00BC582E" w:rsidP="00BC582E">
            <w:pPr>
              <w:pStyle w:val="NoSpacing"/>
            </w:pPr>
          </w:p>
          <w:p w14:paraId="773B14DE" w14:textId="77777777" w:rsidR="00BC582E" w:rsidRDefault="00BC582E" w:rsidP="00BC582E">
            <w:pPr>
              <w:pStyle w:val="NoSpacing"/>
            </w:pPr>
            <w:r>
              <w:t>National agricultural research institutes (NARS) in Burkina Faso (INERA), Mali (IER), Niger (INRAN), India (ICAR), Tunisia, Syria and Sudan</w:t>
            </w:r>
          </w:p>
          <w:p w14:paraId="2EAFF9FF" w14:textId="2520F42C" w:rsidR="00BC582E" w:rsidRPr="00835BE3" w:rsidRDefault="00BC582E" w:rsidP="00BC582E">
            <w:pPr>
              <w:pStyle w:val="NoSpacing"/>
            </w:pPr>
          </w:p>
        </w:tc>
        <w:tc>
          <w:tcPr>
            <w:tcW w:w="2012"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7E609A5A" w14:textId="24281079" w:rsidR="00BC582E" w:rsidRDefault="00BC582E" w:rsidP="00BC582E">
            <w:pPr>
              <w:pStyle w:val="NoSpacing"/>
            </w:pPr>
            <w:r>
              <w:lastRenderedPageBreak/>
              <w:t>Research</w:t>
            </w:r>
            <w:r w:rsidRPr="00835BE3">
              <w:t xml:space="preserve"> </w:t>
            </w:r>
            <w:r w:rsidR="00A14A45">
              <w:t>for development</w:t>
            </w:r>
          </w:p>
          <w:p w14:paraId="5B0E71D2" w14:textId="77777777" w:rsidR="00BC582E" w:rsidRDefault="00BC582E" w:rsidP="00BC582E">
            <w:pPr>
              <w:pStyle w:val="NoSpacing"/>
            </w:pPr>
          </w:p>
          <w:p w14:paraId="54315A55" w14:textId="77777777" w:rsidR="00BC582E" w:rsidRDefault="00BC582E" w:rsidP="00BC582E">
            <w:pPr>
              <w:pStyle w:val="NoSpacing"/>
            </w:pPr>
          </w:p>
          <w:p w14:paraId="04634EF1" w14:textId="77777777" w:rsidR="00BC582E" w:rsidRDefault="00BC582E" w:rsidP="00BC582E">
            <w:pPr>
              <w:pStyle w:val="NoSpacing"/>
            </w:pPr>
          </w:p>
          <w:p w14:paraId="70D821C7" w14:textId="77777777" w:rsidR="00BC582E" w:rsidRDefault="00BC582E" w:rsidP="00BC582E">
            <w:pPr>
              <w:pStyle w:val="NoSpacing"/>
            </w:pPr>
          </w:p>
          <w:p w14:paraId="2E94D245" w14:textId="77777777" w:rsidR="00BC582E" w:rsidRDefault="00BC582E" w:rsidP="00BC582E">
            <w:pPr>
              <w:pStyle w:val="NoSpacing"/>
            </w:pPr>
            <w:r>
              <w:t>Research and Capacity development</w:t>
            </w:r>
          </w:p>
          <w:p w14:paraId="1E536807" w14:textId="77777777" w:rsidR="00BC582E" w:rsidRDefault="00BC582E" w:rsidP="00BC582E">
            <w:pPr>
              <w:pStyle w:val="NoSpacing"/>
            </w:pPr>
          </w:p>
          <w:p w14:paraId="00CA888C" w14:textId="77777777" w:rsidR="00BC582E" w:rsidRDefault="00BC582E" w:rsidP="00BC582E">
            <w:pPr>
              <w:pStyle w:val="NoSpacing"/>
            </w:pPr>
          </w:p>
          <w:p w14:paraId="74E51894" w14:textId="77777777" w:rsidR="00BC582E" w:rsidRDefault="00BC582E" w:rsidP="00BC582E">
            <w:pPr>
              <w:pStyle w:val="NoSpacing"/>
            </w:pPr>
          </w:p>
          <w:p w14:paraId="30167F2F" w14:textId="13ECEF0A" w:rsidR="00BC582E" w:rsidRPr="00835BE3" w:rsidRDefault="00BC582E" w:rsidP="00BC582E">
            <w:pPr>
              <w:pStyle w:val="NoSpacing"/>
            </w:pPr>
            <w:r>
              <w:t>Research and Capacity development</w:t>
            </w:r>
          </w:p>
        </w:tc>
      </w:tr>
      <w:tr w:rsidR="00754200" w:rsidRPr="005C6062" w14:paraId="30D18A09" w14:textId="77777777" w:rsidTr="002D293F">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6E76A54" w14:textId="3241B856" w:rsidR="00754200" w:rsidRDefault="00754200" w:rsidP="00BC582E">
            <w:pPr>
              <w:pStyle w:val="NoSpacing"/>
            </w:pPr>
            <w:r>
              <w:rPr>
                <w:rFonts w:eastAsia="Calibri"/>
              </w:rPr>
              <w:lastRenderedPageBreak/>
              <w:t>I</w:t>
            </w:r>
            <w:r w:rsidRPr="00C33E70">
              <w:rPr>
                <w:rFonts w:eastAsia="Calibri"/>
              </w:rPr>
              <w:t>nnovation in the applicatio</w:t>
            </w:r>
            <w:r w:rsidR="00A14A45">
              <w:rPr>
                <w:rFonts w:eastAsia="Calibri"/>
              </w:rPr>
              <w:t xml:space="preserve">n of integrative data analysis. </w:t>
            </w:r>
            <w:r w:rsidR="00A14A45" w:rsidRPr="00C33E70">
              <w:rPr>
                <w:rFonts w:eastAsia="Calibri"/>
              </w:rPr>
              <w:t xml:space="preserve">The central integrator has been to use of crop-soil-climate models to integrate these data sources with spatial and temporal variation being simulated to produce maps of crop </w:t>
            </w:r>
            <w:r w:rsidR="00A14A45" w:rsidRPr="00B838DF">
              <w:t>performance.</w:t>
            </w: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6E6E16C" w14:textId="7335A9E7" w:rsidR="00754200" w:rsidRDefault="00754200" w:rsidP="00754200">
            <w:pPr>
              <w:pStyle w:val="NoSpacing"/>
            </w:pPr>
            <w:r>
              <w:rPr>
                <w:rFonts w:eastAsia="Calibri"/>
              </w:rPr>
              <w:t xml:space="preserve">GLDC helped leverage </w:t>
            </w:r>
            <w:r w:rsidRPr="00C33E70">
              <w:rPr>
                <w:rFonts w:eastAsia="Calibri"/>
              </w:rPr>
              <w:t xml:space="preserve">bilateral project funding (ESA- MSU and Africa Rising; WCA - ATSAP and TAAT; SA – ICAR, SDC, </w:t>
            </w:r>
            <w:proofErr w:type="spellStart"/>
            <w:r w:rsidRPr="00C33E70">
              <w:rPr>
                <w:rFonts w:eastAsia="Calibri"/>
              </w:rPr>
              <w:t>Mahalanobis</w:t>
            </w:r>
            <w:proofErr w:type="spellEnd"/>
            <w:r w:rsidRPr="00C33E70">
              <w:rPr>
                <w:rFonts w:eastAsia="Calibri"/>
              </w:rPr>
              <w:t xml:space="preserve"> National Crop Forecast Centre (MNCFC)</w:t>
            </w:r>
            <w:r w:rsidR="00A14A45">
              <w:rPr>
                <w:rFonts w:eastAsia="Calibri"/>
              </w:rPr>
              <w:t>, India</w:t>
            </w:r>
            <w:r w:rsidRPr="00C33E70">
              <w:rPr>
                <w:rFonts w:eastAsia="Calibri"/>
              </w:rPr>
              <w:t>) and the communities of practice (AGMIP, Big</w:t>
            </w:r>
            <w:r w:rsidR="00A14A45">
              <w:rPr>
                <w:rFonts w:eastAsia="Calibri"/>
              </w:rPr>
              <w:t xml:space="preserve"> Data for Agriculture) </w:t>
            </w:r>
            <w:r w:rsidRPr="00C33E70">
              <w:rPr>
                <w:rFonts w:eastAsia="Calibri"/>
              </w:rPr>
              <w:t xml:space="preserve"> </w:t>
            </w: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262BBF5" w14:textId="6EFB8CA4" w:rsidR="00754200" w:rsidRDefault="00A14A45" w:rsidP="00BC582E">
            <w:pPr>
              <w:pStyle w:val="NoSpacing"/>
            </w:pPr>
            <w:r>
              <w:t>Research and Capacity development</w:t>
            </w:r>
          </w:p>
        </w:tc>
      </w:tr>
    </w:tbl>
    <w:p w14:paraId="00F9ACDA" w14:textId="77777777" w:rsidR="006E40C8" w:rsidRDefault="006E40C8" w:rsidP="006E40C8">
      <w:bookmarkStart w:id="38" w:name="_33u64wot3sd0"/>
      <w:bookmarkStart w:id="39" w:name="_Table_10:_Status"/>
      <w:bookmarkEnd w:id="38"/>
      <w:bookmarkEnd w:id="39"/>
      <w:r>
        <w:t>Please include collaborations with one or more CRPs or Platforms – or in some cases with other Centers, if these are not already core partners for your CRP.</w:t>
      </w:r>
    </w:p>
    <w:p w14:paraId="0568D5F4" w14:textId="77777777" w:rsidR="006E40C8" w:rsidRDefault="006E40C8" w:rsidP="006E40C8">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4"/>
        <w:gridCol w:w="2937"/>
        <w:gridCol w:w="3599"/>
      </w:tblGrid>
      <w:tr w:rsidR="006E40C8" w:rsidRPr="00835BE3" w14:paraId="7D289688" w14:textId="77777777" w:rsidTr="002D293F">
        <w:tc>
          <w:tcPr>
            <w:tcW w:w="1373" w:type="pct"/>
            <w:tcBorders>
              <w:top w:val="single" w:sz="4" w:space="0" w:color="000000"/>
              <w:left w:val="single" w:sz="4" w:space="0" w:color="000000"/>
              <w:bottom w:val="single" w:sz="4" w:space="0" w:color="000000"/>
              <w:right w:val="single" w:sz="4" w:space="0" w:color="000000"/>
            </w:tcBorders>
            <w:shd w:val="clear" w:color="auto" w:fill="FFF2CC"/>
          </w:tcPr>
          <w:p w14:paraId="21E4B24F" w14:textId="77777777" w:rsidR="006E40C8" w:rsidRPr="00835BE3" w:rsidRDefault="006E40C8" w:rsidP="002D293F">
            <w:pPr>
              <w:keepNext/>
              <w:ind w:right="96"/>
              <w:rPr>
                <w:b/>
                <w:sz w:val="20"/>
                <w:szCs w:val="20"/>
              </w:rPr>
            </w:pPr>
            <w:r w:rsidRPr="00835BE3">
              <w:rPr>
                <w:b/>
                <w:sz w:val="20"/>
                <w:szCs w:val="20"/>
              </w:rPr>
              <w:t>Name(s) of collaborating CRP(s), Platform(s) or Center(s)</w:t>
            </w:r>
          </w:p>
        </w:tc>
        <w:tc>
          <w:tcPr>
            <w:tcW w:w="1630" w:type="pct"/>
            <w:tcBorders>
              <w:top w:val="single" w:sz="4" w:space="0" w:color="000000"/>
              <w:left w:val="single" w:sz="4" w:space="0" w:color="000000"/>
              <w:bottom w:val="single" w:sz="4" w:space="0" w:color="000000"/>
              <w:right w:val="single" w:sz="4" w:space="0" w:color="000000"/>
            </w:tcBorders>
            <w:shd w:val="clear" w:color="auto" w:fill="FFF2CC"/>
            <w:hideMark/>
          </w:tcPr>
          <w:p w14:paraId="5D99364E" w14:textId="77777777" w:rsidR="006E40C8" w:rsidRPr="00835BE3" w:rsidRDefault="006E40C8" w:rsidP="002D293F">
            <w:pPr>
              <w:keepNext/>
              <w:ind w:right="96"/>
              <w:rPr>
                <w:b/>
                <w:sz w:val="20"/>
                <w:szCs w:val="20"/>
              </w:rPr>
            </w:pPr>
            <w:r w:rsidRPr="00835BE3">
              <w:rPr>
                <w:b/>
                <w:sz w:val="20"/>
                <w:szCs w:val="20"/>
              </w:rPr>
              <w:t xml:space="preserve">Brief description of the collaboration </w:t>
            </w:r>
          </w:p>
        </w:tc>
        <w:tc>
          <w:tcPr>
            <w:tcW w:w="1997" w:type="pct"/>
            <w:tcBorders>
              <w:top w:val="single" w:sz="4" w:space="0" w:color="000000"/>
              <w:left w:val="single" w:sz="4" w:space="0" w:color="000000"/>
              <w:bottom w:val="single" w:sz="4" w:space="0" w:color="000000"/>
              <w:right w:val="single" w:sz="4" w:space="0" w:color="000000"/>
            </w:tcBorders>
            <w:shd w:val="clear" w:color="auto" w:fill="FFF2CC"/>
            <w:hideMark/>
          </w:tcPr>
          <w:p w14:paraId="59C53254" w14:textId="77777777" w:rsidR="006E40C8" w:rsidRPr="00835BE3" w:rsidRDefault="006E40C8" w:rsidP="002D293F">
            <w:pPr>
              <w:keepNext/>
              <w:ind w:right="96"/>
              <w:rPr>
                <w:b/>
                <w:sz w:val="20"/>
                <w:szCs w:val="20"/>
              </w:rPr>
            </w:pPr>
            <w:r w:rsidRPr="00835BE3">
              <w:rPr>
                <w:b/>
                <w:sz w:val="20"/>
                <w:szCs w:val="20"/>
              </w:rPr>
              <w:t>Optional:  Value added, in a few words</w:t>
            </w:r>
            <w:r w:rsidRPr="00835BE3">
              <w:rPr>
                <w:b/>
                <w:sz w:val="20"/>
                <w:szCs w:val="20"/>
              </w:rPr>
              <w:br/>
            </w:r>
            <w:r w:rsidRPr="00835BE3">
              <w:rPr>
                <w:sz w:val="20"/>
                <w:szCs w:val="20"/>
              </w:rPr>
              <w:t>e.g. scientific or efficiency benefits</w:t>
            </w:r>
          </w:p>
        </w:tc>
      </w:tr>
      <w:tr w:rsidR="00BC582E" w:rsidRPr="00835BE3" w14:paraId="41B07210" w14:textId="77777777" w:rsidTr="002D293F">
        <w:tc>
          <w:tcPr>
            <w:tcW w:w="1373" w:type="pct"/>
            <w:tcBorders>
              <w:top w:val="single" w:sz="4" w:space="0" w:color="000000"/>
              <w:left w:val="single" w:sz="4" w:space="0" w:color="000000"/>
              <w:bottom w:val="single" w:sz="4" w:space="0" w:color="000000"/>
              <w:right w:val="single" w:sz="4" w:space="0" w:color="000000"/>
            </w:tcBorders>
          </w:tcPr>
          <w:p w14:paraId="4871C16F" w14:textId="1DE5643C" w:rsidR="00BC582E" w:rsidRPr="00952796" w:rsidRDefault="00A14A45" w:rsidP="00BC582E">
            <w:pPr>
              <w:pStyle w:val="NoSpacing"/>
              <w:rPr>
                <w:rFonts w:cstheme="minorHAnsi"/>
              </w:rPr>
            </w:pPr>
            <w:r w:rsidRPr="00952796">
              <w:rPr>
                <w:rFonts w:cstheme="minorHAnsi"/>
              </w:rPr>
              <w:t>GLDC and PIM</w:t>
            </w:r>
          </w:p>
          <w:p w14:paraId="1923CD54" w14:textId="77777777" w:rsidR="00BC582E" w:rsidRPr="00952796" w:rsidRDefault="00BC582E" w:rsidP="00BC582E">
            <w:pPr>
              <w:pStyle w:val="NoSpacing"/>
              <w:rPr>
                <w:rFonts w:cstheme="minorHAnsi"/>
              </w:rPr>
            </w:pPr>
          </w:p>
        </w:tc>
        <w:tc>
          <w:tcPr>
            <w:tcW w:w="1630" w:type="pct"/>
            <w:tcBorders>
              <w:top w:val="single" w:sz="4" w:space="0" w:color="000000"/>
              <w:left w:val="single" w:sz="4" w:space="0" w:color="000000"/>
              <w:bottom w:val="single" w:sz="4" w:space="0" w:color="000000"/>
              <w:right w:val="single" w:sz="4" w:space="0" w:color="000000"/>
            </w:tcBorders>
          </w:tcPr>
          <w:p w14:paraId="0D88D4FA" w14:textId="6D984957" w:rsidR="00BC582E" w:rsidRPr="00952796" w:rsidRDefault="00A14A45" w:rsidP="00BC582E">
            <w:pPr>
              <w:keepNext/>
              <w:ind w:right="96"/>
              <w:rPr>
                <w:rFonts w:asciiTheme="minorHAnsi" w:hAnsiTheme="minorHAnsi" w:cstheme="minorHAnsi"/>
                <w:sz w:val="20"/>
                <w:szCs w:val="20"/>
              </w:rPr>
            </w:pPr>
            <w:r w:rsidRPr="00952796">
              <w:rPr>
                <w:rFonts w:asciiTheme="minorHAnsi" w:hAnsiTheme="minorHAnsi" w:cstheme="minorHAnsi"/>
                <w:sz w:val="20"/>
                <w:szCs w:val="20"/>
              </w:rPr>
              <w:t>Through ICRISAT and ILRI partnership synergy is created by integrating GLDC work on whole farm</w:t>
            </w:r>
            <w:r w:rsidR="00726AB4" w:rsidRPr="00952796">
              <w:rPr>
                <w:rFonts w:asciiTheme="minorHAnsi" w:hAnsiTheme="minorHAnsi" w:cstheme="minorHAnsi"/>
                <w:sz w:val="20"/>
                <w:szCs w:val="20"/>
              </w:rPr>
              <w:t xml:space="preserve"> modelling and fodder</w:t>
            </w:r>
            <w:r w:rsidRPr="00952796">
              <w:rPr>
                <w:rFonts w:asciiTheme="minorHAnsi" w:hAnsiTheme="minorHAnsi" w:cstheme="minorHAnsi"/>
                <w:sz w:val="20"/>
                <w:szCs w:val="20"/>
              </w:rPr>
              <w:t xml:space="preserve"> production potential into PIM activity of Cattle value chain competitive assessment in West Africa.</w:t>
            </w:r>
          </w:p>
        </w:tc>
        <w:tc>
          <w:tcPr>
            <w:tcW w:w="1997" w:type="pct"/>
            <w:tcBorders>
              <w:top w:val="single" w:sz="4" w:space="0" w:color="000000"/>
              <w:left w:val="single" w:sz="4" w:space="0" w:color="000000"/>
              <w:bottom w:val="single" w:sz="4" w:space="0" w:color="000000"/>
              <w:right w:val="single" w:sz="4" w:space="0" w:color="000000"/>
            </w:tcBorders>
          </w:tcPr>
          <w:p w14:paraId="555F3CE8" w14:textId="6F151709" w:rsidR="00BC582E" w:rsidRPr="00952796" w:rsidRDefault="00A14A45" w:rsidP="00726AB4">
            <w:pPr>
              <w:spacing w:after="120"/>
              <w:rPr>
                <w:rFonts w:asciiTheme="minorHAnsi" w:hAnsiTheme="minorHAnsi" w:cstheme="minorHAnsi"/>
                <w:color w:val="000000" w:themeColor="text1"/>
                <w:sz w:val="22"/>
                <w:szCs w:val="22"/>
              </w:rPr>
            </w:pPr>
            <w:r w:rsidRPr="00952796">
              <w:rPr>
                <w:rFonts w:asciiTheme="minorHAnsi" w:hAnsiTheme="minorHAnsi" w:cstheme="minorHAnsi"/>
                <w:color w:val="000000" w:themeColor="text1"/>
                <w:sz w:val="22"/>
                <w:szCs w:val="22"/>
              </w:rPr>
              <w:t>On the supply side, we use an integrated whole farm model with a livestock model as part of it, to generate scenarios of animal yields associated with increasing access and quality of feed/ fodder. This will help assess the impact of increased fodder yields as crop residues/ cultivated fodder</w:t>
            </w:r>
            <w:r w:rsidR="00726AB4" w:rsidRPr="00952796">
              <w:rPr>
                <w:rFonts w:asciiTheme="minorHAnsi" w:hAnsiTheme="minorHAnsi" w:cstheme="minorHAnsi"/>
                <w:color w:val="000000" w:themeColor="text1"/>
                <w:sz w:val="22"/>
                <w:szCs w:val="22"/>
              </w:rPr>
              <w:t xml:space="preserve"> </w:t>
            </w:r>
            <w:r w:rsidRPr="00952796">
              <w:rPr>
                <w:rFonts w:asciiTheme="minorHAnsi" w:hAnsiTheme="minorHAnsi" w:cstheme="minorHAnsi"/>
                <w:color w:val="000000" w:themeColor="text1"/>
                <w:sz w:val="22"/>
                <w:szCs w:val="22"/>
              </w:rPr>
              <w:t xml:space="preserve">on animal yields, consequently </w:t>
            </w:r>
            <w:r w:rsidR="00726AB4" w:rsidRPr="00952796">
              <w:rPr>
                <w:rFonts w:asciiTheme="minorHAnsi" w:hAnsiTheme="minorHAnsi" w:cstheme="minorHAnsi"/>
                <w:color w:val="000000" w:themeColor="text1"/>
                <w:sz w:val="22"/>
                <w:szCs w:val="22"/>
              </w:rPr>
              <w:t>market value and income from livestock</w:t>
            </w:r>
            <w:r w:rsidRPr="00952796">
              <w:rPr>
                <w:rFonts w:asciiTheme="minorHAnsi" w:hAnsiTheme="minorHAnsi" w:cstheme="minorHAnsi"/>
                <w:color w:val="000000" w:themeColor="text1"/>
                <w:sz w:val="22"/>
                <w:szCs w:val="22"/>
              </w:rPr>
              <w:t>.</w:t>
            </w:r>
          </w:p>
        </w:tc>
      </w:tr>
    </w:tbl>
    <w:p w14:paraId="1017C032" w14:textId="77777777" w:rsidR="007A749C" w:rsidRDefault="007A749C" w:rsidP="007A749C">
      <w:pPr>
        <w:pStyle w:val="NoSpacing"/>
      </w:pPr>
      <w:bookmarkStart w:id="40" w:name="_Toc535553048"/>
      <w:bookmarkStart w:id="41" w:name="_Toc535554727"/>
      <w:bookmarkStart w:id="42" w:name="_Toc535554949"/>
      <w:bookmarkStart w:id="43" w:name="_Toc535554990"/>
      <w:r>
        <w:t>Key partnerships developed and promoted for achieving cluster’s outputs and outcomes are mentioned here:</w:t>
      </w:r>
    </w:p>
    <w:p w14:paraId="7A34EABE" w14:textId="77777777" w:rsidR="007A749C" w:rsidRDefault="007A749C" w:rsidP="007A749C">
      <w:pPr>
        <w:pStyle w:val="NoSpacing"/>
        <w:numPr>
          <w:ilvl w:val="0"/>
          <w:numId w:val="23"/>
        </w:numPr>
      </w:pPr>
      <w:r>
        <w:t xml:space="preserve">Collaborative work on framework for sustainable intensification and sustainability assessment: ICRISAT, ICARDA, </w:t>
      </w:r>
      <w:proofErr w:type="spellStart"/>
      <w:r>
        <w:t>Wageningen</w:t>
      </w:r>
      <w:proofErr w:type="spellEnd"/>
      <w:r>
        <w:t xml:space="preserve"> University, Swedish University of Agricultural Sciences</w:t>
      </w:r>
    </w:p>
    <w:p w14:paraId="5B1E7E26" w14:textId="77777777" w:rsidR="007A749C" w:rsidRDefault="007A749C" w:rsidP="007A749C">
      <w:pPr>
        <w:pStyle w:val="NoSpacing"/>
        <w:numPr>
          <w:ilvl w:val="0"/>
          <w:numId w:val="23"/>
        </w:numPr>
      </w:pPr>
      <w:r>
        <w:t>Systems modelling and capacity building through workshops: ICRISAT, ICAR and Commonwealth Scientific and Industrial Research Organization (CSIRO)</w:t>
      </w:r>
    </w:p>
    <w:p w14:paraId="3BDA4CD9" w14:textId="77777777" w:rsidR="007A749C" w:rsidRDefault="007A749C" w:rsidP="007A749C">
      <w:pPr>
        <w:pStyle w:val="NoSpacing"/>
        <w:numPr>
          <w:ilvl w:val="0"/>
          <w:numId w:val="23"/>
        </w:numPr>
      </w:pPr>
      <w:r>
        <w:t>Contextualizing research, capacity building, linking with farmer communities: National agricultural research institutes (NARS) in Burkina Faso (INERA), Mali (IER), Niger (INRAN), India (ICAR), Tunisia, Syria and Sudan</w:t>
      </w:r>
    </w:p>
    <w:p w14:paraId="40C300E4" w14:textId="77777777" w:rsidR="007A749C" w:rsidRDefault="007A749C" w:rsidP="007A749C">
      <w:pPr>
        <w:pStyle w:val="NoSpacing"/>
        <w:numPr>
          <w:ilvl w:val="0"/>
          <w:numId w:val="23"/>
        </w:numPr>
        <w:rPr>
          <w:rFonts w:eastAsia="Calibri"/>
        </w:rPr>
      </w:pPr>
      <w:r>
        <w:rPr>
          <w:rFonts w:eastAsia="Calibri"/>
        </w:rPr>
        <w:lastRenderedPageBreak/>
        <w:t>I</w:t>
      </w:r>
      <w:r w:rsidRPr="00C33E70">
        <w:rPr>
          <w:rFonts w:eastAsia="Calibri"/>
        </w:rPr>
        <w:t>nnovation in the applicatio</w:t>
      </w:r>
      <w:r>
        <w:rPr>
          <w:rFonts w:eastAsia="Calibri"/>
        </w:rPr>
        <w:t xml:space="preserve">n of integrative data analysis. </w:t>
      </w:r>
      <w:r w:rsidRPr="00C33E70">
        <w:rPr>
          <w:rFonts w:eastAsia="Calibri"/>
        </w:rPr>
        <w:t xml:space="preserve">The central integrator has been to use of crop-soil-climate models to integrate these data sources with spatial and temporal variation being simulated to produce maps of crop </w:t>
      </w:r>
      <w:r>
        <w:t xml:space="preserve">performance: </w:t>
      </w:r>
      <w:r>
        <w:rPr>
          <w:rFonts w:eastAsia="Calibri"/>
        </w:rPr>
        <w:t xml:space="preserve">GLDC helped leverage </w:t>
      </w:r>
      <w:r w:rsidRPr="00C33E70">
        <w:rPr>
          <w:rFonts w:eastAsia="Calibri"/>
        </w:rPr>
        <w:t xml:space="preserve">bilateral project funding (ESA- MSU and Africa Rising; WCA - ATSAP and TAAT; SA – ICAR, SDC, </w:t>
      </w:r>
      <w:proofErr w:type="spellStart"/>
      <w:r w:rsidRPr="00C33E70">
        <w:rPr>
          <w:rFonts w:eastAsia="Calibri"/>
        </w:rPr>
        <w:t>Mahalanobis</w:t>
      </w:r>
      <w:proofErr w:type="spellEnd"/>
      <w:r w:rsidRPr="00C33E70">
        <w:rPr>
          <w:rFonts w:eastAsia="Calibri"/>
        </w:rPr>
        <w:t xml:space="preserve"> National Crop Forecast Centre (MNCFC)</w:t>
      </w:r>
      <w:r>
        <w:rPr>
          <w:rFonts w:eastAsia="Calibri"/>
        </w:rPr>
        <w:t>, India</w:t>
      </w:r>
      <w:r w:rsidRPr="00C33E70">
        <w:rPr>
          <w:rFonts w:eastAsia="Calibri"/>
        </w:rPr>
        <w:t>) and the communities of practice (AGMIP, Big</w:t>
      </w:r>
      <w:r>
        <w:rPr>
          <w:rFonts w:eastAsia="Calibri"/>
        </w:rPr>
        <w:t xml:space="preserve"> Data for Agriculture)</w:t>
      </w:r>
    </w:p>
    <w:p w14:paraId="1405FF6D" w14:textId="77777777" w:rsidR="007A749C" w:rsidRPr="007A749C" w:rsidRDefault="007A749C" w:rsidP="007A749C">
      <w:pPr>
        <w:pStyle w:val="NoSpacing"/>
        <w:numPr>
          <w:ilvl w:val="0"/>
          <w:numId w:val="23"/>
        </w:numPr>
      </w:pPr>
      <w:r w:rsidRPr="004934FF">
        <w:rPr>
          <w:rFonts w:cstheme="minorHAnsi"/>
          <w:sz w:val="20"/>
          <w:szCs w:val="20"/>
        </w:rPr>
        <w:t>GLDC and PIM partnership t</w:t>
      </w:r>
      <w:r w:rsidRPr="00952796">
        <w:rPr>
          <w:rFonts w:cstheme="minorHAnsi"/>
          <w:sz w:val="20"/>
          <w:szCs w:val="20"/>
        </w:rPr>
        <w:t>hro</w:t>
      </w:r>
      <w:r>
        <w:rPr>
          <w:rFonts w:cstheme="minorHAnsi"/>
          <w:sz w:val="20"/>
          <w:szCs w:val="20"/>
        </w:rPr>
        <w:t>ugh ICRISAT and ILRI has enabled</w:t>
      </w:r>
      <w:r w:rsidRPr="00952796">
        <w:rPr>
          <w:rFonts w:cstheme="minorHAnsi"/>
          <w:sz w:val="20"/>
          <w:szCs w:val="20"/>
        </w:rPr>
        <w:t xml:space="preserve"> synergy by integrating GLDC work on whole farm modelling and fodder production potential into PIM activity of Cattle value chain competitive assessment in West Africa.</w:t>
      </w:r>
    </w:p>
    <w:p w14:paraId="4524AED9" w14:textId="77777777" w:rsidR="007A749C" w:rsidRDefault="007A749C" w:rsidP="007A749C">
      <w:pPr>
        <w:pStyle w:val="NoSpacing"/>
        <w:rPr>
          <w:rFonts w:cstheme="minorHAnsi"/>
          <w:sz w:val="20"/>
          <w:szCs w:val="20"/>
        </w:rPr>
      </w:pPr>
    </w:p>
    <w:p w14:paraId="2B5481CA" w14:textId="77777777" w:rsidR="007A749C" w:rsidRPr="007A749C" w:rsidRDefault="007A749C" w:rsidP="007A749C">
      <w:pPr>
        <w:pStyle w:val="NoSpacing"/>
      </w:pPr>
      <w:r w:rsidRPr="007A749C">
        <w:rPr>
          <w:rFonts w:cstheme="minorHAnsi"/>
        </w:rPr>
        <w:t>However long term commitment and flexible scope for sharing resources with partners would be the key achieve impactful partnerships.</w:t>
      </w:r>
    </w:p>
    <w:p w14:paraId="2914AB3A" w14:textId="3869DFA1" w:rsidR="006E40C8" w:rsidRPr="00614496" w:rsidRDefault="006E40C8" w:rsidP="006E40C8">
      <w:pPr>
        <w:pStyle w:val="Heading1"/>
        <w:rPr>
          <w:color w:val="BFBFBF" w:themeColor="background1" w:themeShade="BF"/>
          <w:sz w:val="24"/>
        </w:rPr>
      </w:pPr>
      <w:r w:rsidRPr="00614496">
        <w:rPr>
          <w:color w:val="BFBFBF" w:themeColor="background1" w:themeShade="BF"/>
          <w:sz w:val="24"/>
        </w:rPr>
        <w:t>FUND RAISING</w:t>
      </w:r>
      <w:bookmarkEnd w:id="40"/>
      <w:bookmarkEnd w:id="41"/>
      <w:bookmarkEnd w:id="42"/>
      <w:bookmarkEnd w:id="43"/>
    </w:p>
    <w:p w14:paraId="18F99AA0" w14:textId="77777777" w:rsidR="006E40C8" w:rsidRDefault="006E40C8" w:rsidP="006E40C8">
      <w:r>
        <w:t>Give a narrative summary on the financial status and health of the cluster (all windows).</w:t>
      </w:r>
    </w:p>
    <w:p w14:paraId="3AADBBB3" w14:textId="77777777" w:rsidR="006E40C8" w:rsidRDefault="006E40C8" w:rsidP="006E40C8">
      <w:r>
        <w:t>Provide an update on fund raising efforts.</w:t>
      </w:r>
    </w:p>
    <w:p w14:paraId="3606981F" w14:textId="451E04BC" w:rsidR="006E40C8" w:rsidRDefault="006E40C8" w:rsidP="006E40C8">
      <w:r>
        <w:t>MAX 1500 characters</w:t>
      </w:r>
    </w:p>
    <w:p w14:paraId="79A7DB9C" w14:textId="77777777" w:rsidR="00BC582E" w:rsidRPr="00415C7C" w:rsidRDefault="00BC582E" w:rsidP="00BC582E">
      <w:pPr>
        <w:pStyle w:val="NoSpacing"/>
        <w:spacing w:line="252" w:lineRule="auto"/>
      </w:pPr>
      <w:r w:rsidRPr="00415C7C">
        <w:t>Besides initially mapped projects, some new funding was leveraged through</w:t>
      </w:r>
      <w:r>
        <w:t xml:space="preserve"> the</w:t>
      </w:r>
      <w:r w:rsidRPr="00415C7C">
        <w:t xml:space="preserve"> following bilateral projects:</w:t>
      </w:r>
    </w:p>
    <w:p w14:paraId="1D434EA5" w14:textId="354CFEB4" w:rsidR="00BC582E" w:rsidRPr="00415C7C" w:rsidRDefault="00952796" w:rsidP="00BC582E">
      <w:pPr>
        <w:pStyle w:val="NoSpacing"/>
        <w:numPr>
          <w:ilvl w:val="0"/>
          <w:numId w:val="19"/>
        </w:numPr>
        <w:spacing w:line="252" w:lineRule="auto"/>
      </w:pPr>
      <w:r>
        <w:t xml:space="preserve">Next phase of funding obtained for </w:t>
      </w:r>
      <w:r w:rsidR="00BC582E">
        <w:t xml:space="preserve">McKnight Foundation for a collaborative project in Burkina Faso (CIRAD, INERA, WUR, AMSP) on “Feeding the soil and the animals to feed the people (3F)”, with co-financing from WUR for one West-African PhD student. </w:t>
      </w:r>
    </w:p>
    <w:p w14:paraId="6684C12C" w14:textId="2153E4F5" w:rsidR="00BC582E" w:rsidRDefault="00BC582E" w:rsidP="00BC582E">
      <w:pPr>
        <w:pStyle w:val="NoSpacing"/>
        <w:numPr>
          <w:ilvl w:val="0"/>
          <w:numId w:val="19"/>
        </w:numPr>
        <w:spacing w:line="252" w:lineRule="auto"/>
      </w:pPr>
      <w:r w:rsidRPr="004935D8">
        <w:t xml:space="preserve">Funding from LYSA (French Space Agency) and RAMSES2 (UE-Leap </w:t>
      </w:r>
      <w:proofErr w:type="spellStart"/>
      <w:r w:rsidRPr="004935D8">
        <w:t>Agrin</w:t>
      </w:r>
      <w:proofErr w:type="spellEnd"/>
      <w:r w:rsidRPr="004935D8">
        <w:t>)</w:t>
      </w:r>
    </w:p>
    <w:p w14:paraId="11FB9FA2" w14:textId="604F76A9" w:rsidR="00952796" w:rsidRPr="00952796" w:rsidRDefault="00952796" w:rsidP="00952796">
      <w:pPr>
        <w:pStyle w:val="TableContents"/>
        <w:numPr>
          <w:ilvl w:val="0"/>
          <w:numId w:val="19"/>
        </w:numPr>
        <w:rPr>
          <w:rFonts w:asciiTheme="minorHAnsi" w:eastAsiaTheme="minorHAnsi" w:hAnsiTheme="minorHAnsi" w:cstheme="minorBidi"/>
          <w:kern w:val="0"/>
          <w:sz w:val="22"/>
          <w:szCs w:val="22"/>
          <w:lang w:val="en-US" w:eastAsia="en-US" w:bidi="ar-SA"/>
        </w:rPr>
      </w:pPr>
      <w:r w:rsidRPr="00952796">
        <w:rPr>
          <w:rFonts w:asciiTheme="minorHAnsi" w:eastAsiaTheme="minorHAnsi" w:hAnsiTheme="minorHAnsi" w:cstheme="minorBidi"/>
          <w:kern w:val="0"/>
          <w:sz w:val="22"/>
          <w:szCs w:val="22"/>
          <w:lang w:val="en-US" w:eastAsia="en-US" w:bidi="ar-SA"/>
        </w:rPr>
        <w:t xml:space="preserve">RAMSES2 (UE-Leap </w:t>
      </w:r>
      <w:proofErr w:type="spellStart"/>
      <w:r w:rsidRPr="00952796">
        <w:rPr>
          <w:rFonts w:asciiTheme="minorHAnsi" w:eastAsiaTheme="minorHAnsi" w:hAnsiTheme="minorHAnsi" w:cstheme="minorBidi"/>
          <w:kern w:val="0"/>
          <w:sz w:val="22"/>
          <w:szCs w:val="22"/>
          <w:lang w:val="en-US" w:eastAsia="en-US" w:bidi="ar-SA"/>
        </w:rPr>
        <w:t>Agrin</w:t>
      </w:r>
      <w:proofErr w:type="spellEnd"/>
      <w:r w:rsidRPr="00952796">
        <w:rPr>
          <w:rFonts w:asciiTheme="minorHAnsi" w:eastAsiaTheme="minorHAnsi" w:hAnsiTheme="minorHAnsi" w:cstheme="minorBidi"/>
          <w:kern w:val="0"/>
          <w:sz w:val="22"/>
          <w:szCs w:val="22"/>
          <w:lang w:val="en-US" w:eastAsia="en-US" w:bidi="ar-SA"/>
        </w:rPr>
        <w:t xml:space="preserve"> </w:t>
      </w:r>
      <w:r w:rsidR="00312E1F" w:rsidRPr="00952796">
        <w:rPr>
          <w:rFonts w:asciiTheme="minorHAnsi" w:eastAsiaTheme="minorHAnsi" w:hAnsiTheme="minorHAnsi" w:cstheme="minorBidi"/>
          <w:kern w:val="0"/>
          <w:sz w:val="22"/>
          <w:szCs w:val="22"/>
          <w:lang w:val="en-US" w:eastAsia="en-US" w:bidi="ar-SA"/>
        </w:rPr>
        <w:t>funding</w:t>
      </w:r>
      <w:r w:rsidRPr="00952796">
        <w:rPr>
          <w:rFonts w:asciiTheme="minorHAnsi" w:eastAsiaTheme="minorHAnsi" w:hAnsiTheme="minorHAnsi" w:cstheme="minorBidi"/>
          <w:kern w:val="0"/>
          <w:sz w:val="22"/>
          <w:szCs w:val="22"/>
          <w:lang w:val="en-US" w:eastAsia="en-US" w:bidi="ar-SA"/>
        </w:rPr>
        <w:t>)</w:t>
      </w:r>
    </w:p>
    <w:p w14:paraId="2A8345C0" w14:textId="0F707F13" w:rsidR="00952796" w:rsidRDefault="00952796" w:rsidP="00952796">
      <w:pPr>
        <w:pStyle w:val="NoSpacing"/>
        <w:numPr>
          <w:ilvl w:val="0"/>
          <w:numId w:val="19"/>
        </w:numPr>
        <w:spacing w:line="252" w:lineRule="auto"/>
      </w:pPr>
      <w:proofErr w:type="spellStart"/>
      <w:r w:rsidRPr="00952796">
        <w:t>SustainSAHEL</w:t>
      </w:r>
      <w:proofErr w:type="spellEnd"/>
      <w:r w:rsidRPr="00952796">
        <w:t xml:space="preserve"> (UE-H2020 </w:t>
      </w:r>
      <w:r w:rsidR="00312E1F" w:rsidRPr="00952796">
        <w:t>funding</w:t>
      </w:r>
      <w:r w:rsidRPr="00952796">
        <w:t>)</w:t>
      </w:r>
    </w:p>
    <w:p w14:paraId="5CEC193B" w14:textId="59CECDF6" w:rsidR="00952796" w:rsidRDefault="00952796" w:rsidP="00952796">
      <w:pPr>
        <w:pStyle w:val="ListParagraph"/>
        <w:numPr>
          <w:ilvl w:val="0"/>
          <w:numId w:val="19"/>
        </w:numPr>
        <w:spacing w:after="160" w:line="259" w:lineRule="auto"/>
        <w:contextualSpacing/>
      </w:pPr>
      <w:r>
        <w:t>ICAR-W3 funding: Integrating systems analysis and modelling tools to identify interventions that enhance farming systems resilience and nutrition sensitive agricultural value chains in semiarid regions of India (about $800k) 2019-2023</w:t>
      </w:r>
    </w:p>
    <w:p w14:paraId="0DF3ADFF" w14:textId="77777777" w:rsidR="00BC582E" w:rsidRDefault="00BC582E" w:rsidP="00BC582E">
      <w:pPr>
        <w:pStyle w:val="Heading1"/>
        <w:jc w:val="both"/>
        <w:rPr>
          <w:lang w:val="en-GB"/>
        </w:rPr>
      </w:pPr>
      <w:r w:rsidRPr="00C10082">
        <w:rPr>
          <w:rFonts w:asciiTheme="minorHAnsi" w:eastAsiaTheme="minorHAnsi" w:hAnsiTheme="minorHAnsi" w:cstheme="minorBidi"/>
          <w:color w:val="auto"/>
          <w:sz w:val="22"/>
          <w:szCs w:val="22"/>
        </w:rPr>
        <w:t>Overall the financial health is good. We are making efforts to develop greater collaboration with large civil society organizations and private sector to leverage CRP funds for big impacts.</w:t>
      </w:r>
    </w:p>
    <w:p w14:paraId="2BA86AC7" w14:textId="16646541" w:rsidR="00BC582E" w:rsidRDefault="00BC582E" w:rsidP="006E40C8"/>
    <w:p w14:paraId="05BF4BAC" w14:textId="77777777" w:rsidR="00D27B06" w:rsidRDefault="00D27B06" w:rsidP="00AC7EDA"/>
    <w:sectPr w:rsidR="00D27B06" w:rsidSect="00A13DA6">
      <w:headerReference w:type="default" r:id="rId18"/>
      <w:footerReference w:type="default" r:id="rId19"/>
      <w:headerReference w:type="firs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6B81" w14:textId="77777777" w:rsidR="00AE2758" w:rsidRDefault="00AE2758">
      <w:r>
        <w:separator/>
      </w:r>
    </w:p>
  </w:endnote>
  <w:endnote w:type="continuationSeparator" w:id="0">
    <w:p w14:paraId="059181FF" w14:textId="77777777" w:rsidR="00AE2758" w:rsidRDefault="00AE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FB13" w14:textId="1BB52748" w:rsidR="006F638D" w:rsidRDefault="006E40C8" w:rsidP="00967AF7">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sidR="004E2367">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27ECE" w14:textId="77777777" w:rsidR="00AE2758" w:rsidRDefault="00AE2758">
      <w:r>
        <w:separator/>
      </w:r>
    </w:p>
  </w:footnote>
  <w:footnote w:type="continuationSeparator" w:id="0">
    <w:p w14:paraId="08F62414" w14:textId="77777777" w:rsidR="00AE2758" w:rsidRDefault="00AE2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AE10" w14:textId="77777777" w:rsidR="006F638D" w:rsidRPr="00967AF7" w:rsidRDefault="00AE2758" w:rsidP="00967A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4F63" w14:textId="77777777" w:rsidR="006F638D" w:rsidRDefault="00AE27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A25"/>
    <w:multiLevelType w:val="hybridMultilevel"/>
    <w:tmpl w:val="A634C6C0"/>
    <w:lvl w:ilvl="0" w:tplc="31DE617E">
      <w:start w:val="1"/>
      <w:numFmt w:val="bullet"/>
      <w:lvlText w:val=""/>
      <w:lvlJc w:val="left"/>
      <w:pPr>
        <w:tabs>
          <w:tab w:val="num" w:pos="720"/>
        </w:tabs>
        <w:ind w:left="720" w:hanging="360"/>
      </w:pPr>
      <w:rPr>
        <w:rFonts w:ascii="Wingdings" w:hAnsi="Wingdings" w:hint="default"/>
      </w:rPr>
    </w:lvl>
    <w:lvl w:ilvl="1" w:tplc="A61ADD12" w:tentative="1">
      <w:start w:val="1"/>
      <w:numFmt w:val="bullet"/>
      <w:lvlText w:val=""/>
      <w:lvlJc w:val="left"/>
      <w:pPr>
        <w:tabs>
          <w:tab w:val="num" w:pos="1440"/>
        </w:tabs>
        <w:ind w:left="1440" w:hanging="360"/>
      </w:pPr>
      <w:rPr>
        <w:rFonts w:ascii="Wingdings" w:hAnsi="Wingdings" w:hint="default"/>
      </w:rPr>
    </w:lvl>
    <w:lvl w:ilvl="2" w:tplc="BEDA2240" w:tentative="1">
      <w:start w:val="1"/>
      <w:numFmt w:val="bullet"/>
      <w:lvlText w:val=""/>
      <w:lvlJc w:val="left"/>
      <w:pPr>
        <w:tabs>
          <w:tab w:val="num" w:pos="2160"/>
        </w:tabs>
        <w:ind w:left="2160" w:hanging="360"/>
      </w:pPr>
      <w:rPr>
        <w:rFonts w:ascii="Wingdings" w:hAnsi="Wingdings" w:hint="default"/>
      </w:rPr>
    </w:lvl>
    <w:lvl w:ilvl="3" w:tplc="5ADE93CC" w:tentative="1">
      <w:start w:val="1"/>
      <w:numFmt w:val="bullet"/>
      <w:lvlText w:val=""/>
      <w:lvlJc w:val="left"/>
      <w:pPr>
        <w:tabs>
          <w:tab w:val="num" w:pos="2880"/>
        </w:tabs>
        <w:ind w:left="2880" w:hanging="360"/>
      </w:pPr>
      <w:rPr>
        <w:rFonts w:ascii="Wingdings" w:hAnsi="Wingdings" w:hint="default"/>
      </w:rPr>
    </w:lvl>
    <w:lvl w:ilvl="4" w:tplc="7898E876" w:tentative="1">
      <w:start w:val="1"/>
      <w:numFmt w:val="bullet"/>
      <w:lvlText w:val=""/>
      <w:lvlJc w:val="left"/>
      <w:pPr>
        <w:tabs>
          <w:tab w:val="num" w:pos="3600"/>
        </w:tabs>
        <w:ind w:left="3600" w:hanging="360"/>
      </w:pPr>
      <w:rPr>
        <w:rFonts w:ascii="Wingdings" w:hAnsi="Wingdings" w:hint="default"/>
      </w:rPr>
    </w:lvl>
    <w:lvl w:ilvl="5" w:tplc="80DACF46" w:tentative="1">
      <w:start w:val="1"/>
      <w:numFmt w:val="bullet"/>
      <w:lvlText w:val=""/>
      <w:lvlJc w:val="left"/>
      <w:pPr>
        <w:tabs>
          <w:tab w:val="num" w:pos="4320"/>
        </w:tabs>
        <w:ind w:left="4320" w:hanging="360"/>
      </w:pPr>
      <w:rPr>
        <w:rFonts w:ascii="Wingdings" w:hAnsi="Wingdings" w:hint="default"/>
      </w:rPr>
    </w:lvl>
    <w:lvl w:ilvl="6" w:tplc="59C41ED2" w:tentative="1">
      <w:start w:val="1"/>
      <w:numFmt w:val="bullet"/>
      <w:lvlText w:val=""/>
      <w:lvlJc w:val="left"/>
      <w:pPr>
        <w:tabs>
          <w:tab w:val="num" w:pos="5040"/>
        </w:tabs>
        <w:ind w:left="5040" w:hanging="360"/>
      </w:pPr>
      <w:rPr>
        <w:rFonts w:ascii="Wingdings" w:hAnsi="Wingdings" w:hint="default"/>
      </w:rPr>
    </w:lvl>
    <w:lvl w:ilvl="7" w:tplc="9E04A910" w:tentative="1">
      <w:start w:val="1"/>
      <w:numFmt w:val="bullet"/>
      <w:lvlText w:val=""/>
      <w:lvlJc w:val="left"/>
      <w:pPr>
        <w:tabs>
          <w:tab w:val="num" w:pos="5760"/>
        </w:tabs>
        <w:ind w:left="5760" w:hanging="360"/>
      </w:pPr>
      <w:rPr>
        <w:rFonts w:ascii="Wingdings" w:hAnsi="Wingdings" w:hint="default"/>
      </w:rPr>
    </w:lvl>
    <w:lvl w:ilvl="8" w:tplc="7128A1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03260"/>
    <w:multiLevelType w:val="multilevel"/>
    <w:tmpl w:val="AED802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BF5516"/>
    <w:multiLevelType w:val="hybridMultilevel"/>
    <w:tmpl w:val="EB62C0BE"/>
    <w:lvl w:ilvl="0" w:tplc="43CEC52C">
      <w:numFmt w:val="bullet"/>
      <w:lvlText w:val="•"/>
      <w:lvlJc w:val="left"/>
      <w:pPr>
        <w:ind w:left="720" w:hanging="360"/>
      </w:pPr>
      <w:rPr>
        <w:rFonts w:asciiTheme="minorHAnsi" w:eastAsiaTheme="minorHAnsi" w:hAnsiTheme="minorHAns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EF5AA2"/>
    <w:multiLevelType w:val="hybridMultilevel"/>
    <w:tmpl w:val="7166B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B23C4"/>
    <w:multiLevelType w:val="hybridMultilevel"/>
    <w:tmpl w:val="DD50E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D7DD0"/>
    <w:multiLevelType w:val="hybridMultilevel"/>
    <w:tmpl w:val="D9FA05F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CA32E8"/>
    <w:multiLevelType w:val="hybridMultilevel"/>
    <w:tmpl w:val="F424C764"/>
    <w:lvl w:ilvl="0" w:tplc="4009000F">
      <w:start w:val="1"/>
      <w:numFmt w:val="decimal"/>
      <w:lvlText w:val="%1."/>
      <w:lvlJc w:val="left"/>
      <w:pPr>
        <w:ind w:left="510" w:hanging="1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8475FB"/>
    <w:multiLevelType w:val="hybridMultilevel"/>
    <w:tmpl w:val="E22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44BCA"/>
    <w:multiLevelType w:val="hybridMultilevel"/>
    <w:tmpl w:val="AB2C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E3B54"/>
    <w:multiLevelType w:val="hybridMultilevel"/>
    <w:tmpl w:val="96106752"/>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0" w15:restartNumberingAfterBreak="0">
    <w:nsid w:val="369D7389"/>
    <w:multiLevelType w:val="multilevel"/>
    <w:tmpl w:val="30CC76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99B27C4"/>
    <w:multiLevelType w:val="hybridMultilevel"/>
    <w:tmpl w:val="628A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17AE3"/>
    <w:multiLevelType w:val="hybridMultilevel"/>
    <w:tmpl w:val="175EF23A"/>
    <w:lvl w:ilvl="0" w:tplc="505E9CD4">
      <w:start w:val="1"/>
      <w:numFmt w:val="bullet"/>
      <w:lvlText w:val=""/>
      <w:lvlJc w:val="left"/>
      <w:pPr>
        <w:tabs>
          <w:tab w:val="num" w:pos="720"/>
        </w:tabs>
        <w:ind w:left="720" w:hanging="360"/>
      </w:pPr>
      <w:rPr>
        <w:rFonts w:ascii="Wingdings" w:hAnsi="Wingdings" w:hint="default"/>
      </w:rPr>
    </w:lvl>
    <w:lvl w:ilvl="1" w:tplc="E1A2AAA8">
      <w:start w:val="1"/>
      <w:numFmt w:val="bullet"/>
      <w:lvlText w:val=""/>
      <w:lvlJc w:val="left"/>
      <w:pPr>
        <w:tabs>
          <w:tab w:val="num" w:pos="1440"/>
        </w:tabs>
        <w:ind w:left="1440" w:hanging="360"/>
      </w:pPr>
      <w:rPr>
        <w:rFonts w:ascii="Wingdings" w:hAnsi="Wingdings" w:hint="default"/>
      </w:rPr>
    </w:lvl>
    <w:lvl w:ilvl="2" w:tplc="84D69BDE">
      <w:start w:val="1"/>
      <w:numFmt w:val="bullet"/>
      <w:lvlText w:val=""/>
      <w:lvlJc w:val="left"/>
      <w:pPr>
        <w:tabs>
          <w:tab w:val="num" w:pos="2160"/>
        </w:tabs>
        <w:ind w:left="2160" w:hanging="360"/>
      </w:pPr>
      <w:rPr>
        <w:rFonts w:ascii="Wingdings" w:hAnsi="Wingdings" w:hint="default"/>
      </w:rPr>
    </w:lvl>
    <w:lvl w:ilvl="3" w:tplc="3D986D28" w:tentative="1">
      <w:start w:val="1"/>
      <w:numFmt w:val="bullet"/>
      <w:lvlText w:val=""/>
      <w:lvlJc w:val="left"/>
      <w:pPr>
        <w:tabs>
          <w:tab w:val="num" w:pos="2880"/>
        </w:tabs>
        <w:ind w:left="2880" w:hanging="360"/>
      </w:pPr>
      <w:rPr>
        <w:rFonts w:ascii="Wingdings" w:hAnsi="Wingdings" w:hint="default"/>
      </w:rPr>
    </w:lvl>
    <w:lvl w:ilvl="4" w:tplc="2A847D56" w:tentative="1">
      <w:start w:val="1"/>
      <w:numFmt w:val="bullet"/>
      <w:lvlText w:val=""/>
      <w:lvlJc w:val="left"/>
      <w:pPr>
        <w:tabs>
          <w:tab w:val="num" w:pos="3600"/>
        </w:tabs>
        <w:ind w:left="3600" w:hanging="360"/>
      </w:pPr>
      <w:rPr>
        <w:rFonts w:ascii="Wingdings" w:hAnsi="Wingdings" w:hint="default"/>
      </w:rPr>
    </w:lvl>
    <w:lvl w:ilvl="5" w:tplc="C58AC366" w:tentative="1">
      <w:start w:val="1"/>
      <w:numFmt w:val="bullet"/>
      <w:lvlText w:val=""/>
      <w:lvlJc w:val="left"/>
      <w:pPr>
        <w:tabs>
          <w:tab w:val="num" w:pos="4320"/>
        </w:tabs>
        <w:ind w:left="4320" w:hanging="360"/>
      </w:pPr>
      <w:rPr>
        <w:rFonts w:ascii="Wingdings" w:hAnsi="Wingdings" w:hint="default"/>
      </w:rPr>
    </w:lvl>
    <w:lvl w:ilvl="6" w:tplc="BB52C57E" w:tentative="1">
      <w:start w:val="1"/>
      <w:numFmt w:val="bullet"/>
      <w:lvlText w:val=""/>
      <w:lvlJc w:val="left"/>
      <w:pPr>
        <w:tabs>
          <w:tab w:val="num" w:pos="5040"/>
        </w:tabs>
        <w:ind w:left="5040" w:hanging="360"/>
      </w:pPr>
      <w:rPr>
        <w:rFonts w:ascii="Wingdings" w:hAnsi="Wingdings" w:hint="default"/>
      </w:rPr>
    </w:lvl>
    <w:lvl w:ilvl="7" w:tplc="08DEA95A" w:tentative="1">
      <w:start w:val="1"/>
      <w:numFmt w:val="bullet"/>
      <w:lvlText w:val=""/>
      <w:lvlJc w:val="left"/>
      <w:pPr>
        <w:tabs>
          <w:tab w:val="num" w:pos="5760"/>
        </w:tabs>
        <w:ind w:left="5760" w:hanging="360"/>
      </w:pPr>
      <w:rPr>
        <w:rFonts w:ascii="Wingdings" w:hAnsi="Wingdings" w:hint="default"/>
      </w:rPr>
    </w:lvl>
    <w:lvl w:ilvl="8" w:tplc="623880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B5800"/>
    <w:multiLevelType w:val="multilevel"/>
    <w:tmpl w:val="873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02D75"/>
    <w:multiLevelType w:val="hybridMultilevel"/>
    <w:tmpl w:val="4DCCF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C26786C"/>
    <w:multiLevelType w:val="hybridMultilevel"/>
    <w:tmpl w:val="1D64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83091"/>
    <w:multiLevelType w:val="multilevel"/>
    <w:tmpl w:val="EA50C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786E2A"/>
    <w:multiLevelType w:val="hybridMultilevel"/>
    <w:tmpl w:val="714A976E"/>
    <w:lvl w:ilvl="0" w:tplc="43CEC52C">
      <w:numFmt w:val="bullet"/>
      <w:lvlText w:val="•"/>
      <w:lvlJc w:val="left"/>
      <w:pPr>
        <w:ind w:left="720" w:hanging="360"/>
      </w:pPr>
      <w:rPr>
        <w:rFonts w:asciiTheme="minorHAnsi" w:eastAsiaTheme="minorHAnsi" w:hAnsiTheme="minorHAns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A62765"/>
    <w:multiLevelType w:val="hybridMultilevel"/>
    <w:tmpl w:val="F3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86693"/>
    <w:multiLevelType w:val="hybridMultilevel"/>
    <w:tmpl w:val="E14EFADA"/>
    <w:lvl w:ilvl="0" w:tplc="25CAFFB6">
      <w:start w:val="1"/>
      <w:numFmt w:val="decimal"/>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7009A2"/>
    <w:multiLevelType w:val="hybridMultilevel"/>
    <w:tmpl w:val="B06EF9F6"/>
    <w:lvl w:ilvl="0" w:tplc="04090001">
      <w:start w:val="1"/>
      <w:numFmt w:val="bullet"/>
      <w:lvlText w:val=""/>
      <w:lvlJc w:val="left"/>
      <w:pPr>
        <w:ind w:left="720" w:hanging="360"/>
      </w:pPr>
      <w:rPr>
        <w:rFonts w:ascii="Symbol" w:hAnsi="Symbol" w:hint="default"/>
      </w:rPr>
    </w:lvl>
    <w:lvl w:ilvl="1" w:tplc="E19800AC">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02563"/>
    <w:multiLevelType w:val="hybridMultilevel"/>
    <w:tmpl w:val="19FE9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C731781"/>
    <w:multiLevelType w:val="hybridMultilevel"/>
    <w:tmpl w:val="C870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34641"/>
    <w:multiLevelType w:val="hybridMultilevel"/>
    <w:tmpl w:val="2D0475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1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14"/>
  </w:num>
  <w:num w:numId="9">
    <w:abstractNumId w:val="3"/>
  </w:num>
  <w:num w:numId="10">
    <w:abstractNumId w:val="4"/>
  </w:num>
  <w:num w:numId="11">
    <w:abstractNumId w:val="5"/>
  </w:num>
  <w:num w:numId="12">
    <w:abstractNumId w:val="17"/>
  </w:num>
  <w:num w:numId="13">
    <w:abstractNumId w:val="2"/>
  </w:num>
  <w:num w:numId="14">
    <w:abstractNumId w:val="9"/>
  </w:num>
  <w:num w:numId="15">
    <w:abstractNumId w:val="22"/>
  </w:num>
  <w:num w:numId="16">
    <w:abstractNumId w:val="7"/>
  </w:num>
  <w:num w:numId="17">
    <w:abstractNumId w:val="8"/>
  </w:num>
  <w:num w:numId="18">
    <w:abstractNumId w:val="18"/>
  </w:num>
  <w:num w:numId="19">
    <w:abstractNumId w:val="11"/>
  </w:num>
  <w:num w:numId="20">
    <w:abstractNumId w:val="20"/>
  </w:num>
  <w:num w:numId="21">
    <w:abstractNumId w:val="1"/>
  </w:num>
  <w:num w:numId="22">
    <w:abstractNumId w:val="6"/>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C8"/>
    <w:rsid w:val="00025EC6"/>
    <w:rsid w:val="00062976"/>
    <w:rsid w:val="00064EE7"/>
    <w:rsid w:val="000A533F"/>
    <w:rsid w:val="000E25DA"/>
    <w:rsid w:val="00137483"/>
    <w:rsid w:val="001F2964"/>
    <w:rsid w:val="002028B1"/>
    <w:rsid w:val="00220CE9"/>
    <w:rsid w:val="002B0A39"/>
    <w:rsid w:val="00312E1F"/>
    <w:rsid w:val="00335CA0"/>
    <w:rsid w:val="003523AB"/>
    <w:rsid w:val="00363683"/>
    <w:rsid w:val="003A7E98"/>
    <w:rsid w:val="003B5D7E"/>
    <w:rsid w:val="004934FF"/>
    <w:rsid w:val="004B74B1"/>
    <w:rsid w:val="004C6367"/>
    <w:rsid w:val="004E2367"/>
    <w:rsid w:val="00566F50"/>
    <w:rsid w:val="005942F8"/>
    <w:rsid w:val="005E2C19"/>
    <w:rsid w:val="00614EF9"/>
    <w:rsid w:val="006563C3"/>
    <w:rsid w:val="00656B40"/>
    <w:rsid w:val="006B366B"/>
    <w:rsid w:val="006E40C8"/>
    <w:rsid w:val="00714E51"/>
    <w:rsid w:val="00726AB4"/>
    <w:rsid w:val="00743643"/>
    <w:rsid w:val="00751995"/>
    <w:rsid w:val="00754200"/>
    <w:rsid w:val="0075451C"/>
    <w:rsid w:val="00772697"/>
    <w:rsid w:val="00790AF0"/>
    <w:rsid w:val="007A372D"/>
    <w:rsid w:val="007A749C"/>
    <w:rsid w:val="007B5F23"/>
    <w:rsid w:val="007C1FDA"/>
    <w:rsid w:val="007F04C1"/>
    <w:rsid w:val="00803D64"/>
    <w:rsid w:val="0081397C"/>
    <w:rsid w:val="0086478C"/>
    <w:rsid w:val="008C2096"/>
    <w:rsid w:val="00903961"/>
    <w:rsid w:val="00917688"/>
    <w:rsid w:val="00952796"/>
    <w:rsid w:val="00974D4D"/>
    <w:rsid w:val="009A2F45"/>
    <w:rsid w:val="009B01B7"/>
    <w:rsid w:val="00A04227"/>
    <w:rsid w:val="00A13DA6"/>
    <w:rsid w:val="00A14A45"/>
    <w:rsid w:val="00A3515A"/>
    <w:rsid w:val="00A66E09"/>
    <w:rsid w:val="00AC7EDA"/>
    <w:rsid w:val="00AE2758"/>
    <w:rsid w:val="00B7383F"/>
    <w:rsid w:val="00B838DF"/>
    <w:rsid w:val="00B92662"/>
    <w:rsid w:val="00BC582E"/>
    <w:rsid w:val="00BD66E3"/>
    <w:rsid w:val="00BF72FE"/>
    <w:rsid w:val="00C33E70"/>
    <w:rsid w:val="00C357F7"/>
    <w:rsid w:val="00CB5659"/>
    <w:rsid w:val="00D27B06"/>
    <w:rsid w:val="00DE3E81"/>
    <w:rsid w:val="00E139B7"/>
    <w:rsid w:val="00E25AB1"/>
    <w:rsid w:val="00E61F0A"/>
    <w:rsid w:val="00E63EF4"/>
    <w:rsid w:val="00EA02F9"/>
    <w:rsid w:val="00ED643F"/>
    <w:rsid w:val="00F345DC"/>
    <w:rsid w:val="00F35D44"/>
    <w:rsid w:val="00F700C2"/>
    <w:rsid w:val="00F9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chartTrackingRefBased/>
  <w15:docId w15:val="{C9711B42-17FA-5449-A2B2-BC922D4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351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BalloonText">
    <w:name w:val="Balloon Text"/>
    <w:basedOn w:val="Normal"/>
    <w:link w:val="BalloonTextChar"/>
    <w:uiPriority w:val="99"/>
    <w:semiHidden/>
    <w:unhideWhenUsed/>
    <w:rsid w:val="00A3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5A"/>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3515A"/>
    <w:rPr>
      <w:rFonts w:asciiTheme="majorHAnsi" w:eastAsiaTheme="majorEastAsia" w:hAnsiTheme="majorHAnsi" w:cstheme="majorBidi"/>
      <w:color w:val="2F5496" w:themeColor="accent1" w:themeShade="BF"/>
      <w:sz w:val="26"/>
      <w:szCs w:val="26"/>
    </w:rPr>
  </w:style>
  <w:style w:type="paragraph" w:styleId="ListParagraph">
    <w:name w:val="List Paragraph"/>
    <w:aliases w:val="Figure Caption,Scriptoria bullet points,List Paragraph 1,Citation List,Bullets,Evidence on Demand bullet points,Dot pt,F5 List Paragraph,List Paragraph Char Char Char,Indicator Text,Numbered Para 1,Colorful List - Accent 11,Bullet Points"/>
    <w:basedOn w:val="Normal"/>
    <w:link w:val="ListParagraphChar"/>
    <w:uiPriority w:val="34"/>
    <w:qFormat/>
    <w:rsid w:val="00714E51"/>
    <w:pPr>
      <w:ind w:left="720"/>
    </w:pPr>
    <w:rPr>
      <w:rFonts w:ascii="Calibri" w:eastAsiaTheme="minorHAnsi" w:hAnsi="Calibri" w:cs="Calibri"/>
      <w:sz w:val="22"/>
      <w:szCs w:val="22"/>
    </w:rPr>
  </w:style>
  <w:style w:type="character" w:customStyle="1" w:styleId="ListParagraphChar">
    <w:name w:val="List Paragraph Char"/>
    <w:aliases w:val="Figure Caption Char,Scriptoria bullet points Char,List Paragraph 1 Char,Citation List Char,Bullets Char,Evidence on Demand bullet points Char,Dot pt Char,F5 List Paragraph Char,List Paragraph Char Char Char Char,Indicator Text Char"/>
    <w:link w:val="ListParagraph"/>
    <w:uiPriority w:val="34"/>
    <w:locked/>
    <w:rsid w:val="00714E51"/>
    <w:rPr>
      <w:rFonts w:ascii="Calibri" w:hAnsi="Calibri" w:cs="Calibri"/>
      <w:sz w:val="22"/>
      <w:szCs w:val="22"/>
    </w:rPr>
  </w:style>
  <w:style w:type="paragraph" w:customStyle="1" w:styleId="p">
    <w:name w:val="p"/>
    <w:basedOn w:val="Normal"/>
    <w:rsid w:val="00137483"/>
    <w:pPr>
      <w:spacing w:before="100" w:beforeAutospacing="1" w:after="100" w:afterAutospacing="1"/>
    </w:pPr>
    <w:rPr>
      <w:lang w:val="en-IN" w:eastAsia="en-IN"/>
    </w:rPr>
  </w:style>
  <w:style w:type="paragraph" w:customStyle="1" w:styleId="TableContents">
    <w:name w:val="Table Contents"/>
    <w:basedOn w:val="Normal"/>
    <w:rsid w:val="000A533F"/>
    <w:pPr>
      <w:suppressLineNumbers/>
      <w:suppressAutoHyphens/>
      <w:autoSpaceDN w:val="0"/>
      <w:textAlignment w:val="baseline"/>
    </w:pPr>
    <w:rPr>
      <w:rFonts w:ascii="Liberation Serif" w:eastAsia="SimSun" w:hAnsi="Liberation Serif" w:cs="Mangal"/>
      <w:kern w:val="3"/>
      <w:lang w:val="fr-FR" w:eastAsia="zh-CN" w:bidi="hi-IN"/>
    </w:rPr>
  </w:style>
  <w:style w:type="character" w:customStyle="1" w:styleId="BulletSymbols">
    <w:name w:val="Bullet Symbols"/>
    <w:rsid w:val="000A533F"/>
    <w:rPr>
      <w:rFonts w:ascii="OpenSymbol" w:eastAsia="OpenSymbol" w:hAnsi="OpenSymbol" w:cs="OpenSymbol"/>
    </w:rPr>
  </w:style>
  <w:style w:type="table" w:styleId="GridTable1Light-Accent3">
    <w:name w:val="Grid Table 1 Light Accent 3"/>
    <w:basedOn w:val="TableNormal"/>
    <w:uiPriority w:val="46"/>
    <w:rsid w:val="00220CE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BC582E"/>
    <w:rPr>
      <w:sz w:val="20"/>
      <w:szCs w:val="20"/>
    </w:rPr>
  </w:style>
  <w:style w:type="character" w:customStyle="1" w:styleId="CommentTextChar">
    <w:name w:val="Comment Text Char"/>
    <w:basedOn w:val="DefaultParagraphFont"/>
    <w:link w:val="CommentText"/>
    <w:uiPriority w:val="99"/>
    <w:rsid w:val="00BC582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9447">
      <w:bodyDiv w:val="1"/>
      <w:marLeft w:val="0"/>
      <w:marRight w:val="0"/>
      <w:marTop w:val="0"/>
      <w:marBottom w:val="0"/>
      <w:divBdr>
        <w:top w:val="none" w:sz="0" w:space="0" w:color="auto"/>
        <w:left w:val="none" w:sz="0" w:space="0" w:color="auto"/>
        <w:bottom w:val="none" w:sz="0" w:space="0" w:color="auto"/>
        <w:right w:val="none" w:sz="0" w:space="0" w:color="auto"/>
      </w:divBdr>
      <w:divsChild>
        <w:div w:id="1212574393">
          <w:marLeft w:val="446"/>
          <w:marRight w:val="0"/>
          <w:marTop w:val="0"/>
          <w:marBottom w:val="0"/>
          <w:divBdr>
            <w:top w:val="none" w:sz="0" w:space="0" w:color="auto"/>
            <w:left w:val="none" w:sz="0" w:space="0" w:color="auto"/>
            <w:bottom w:val="none" w:sz="0" w:space="0" w:color="auto"/>
            <w:right w:val="none" w:sz="0" w:space="0" w:color="auto"/>
          </w:divBdr>
        </w:div>
        <w:div w:id="1104838386">
          <w:marLeft w:val="446"/>
          <w:marRight w:val="0"/>
          <w:marTop w:val="0"/>
          <w:marBottom w:val="0"/>
          <w:divBdr>
            <w:top w:val="none" w:sz="0" w:space="0" w:color="auto"/>
            <w:left w:val="none" w:sz="0" w:space="0" w:color="auto"/>
            <w:bottom w:val="none" w:sz="0" w:space="0" w:color="auto"/>
            <w:right w:val="none" w:sz="0" w:space="0" w:color="auto"/>
          </w:divBdr>
        </w:div>
        <w:div w:id="905803349">
          <w:marLeft w:val="446"/>
          <w:marRight w:val="0"/>
          <w:marTop w:val="0"/>
          <w:marBottom w:val="0"/>
          <w:divBdr>
            <w:top w:val="none" w:sz="0" w:space="0" w:color="auto"/>
            <w:left w:val="none" w:sz="0" w:space="0" w:color="auto"/>
            <w:bottom w:val="none" w:sz="0" w:space="0" w:color="auto"/>
            <w:right w:val="none" w:sz="0" w:space="0" w:color="auto"/>
          </w:divBdr>
        </w:div>
        <w:div w:id="195974642">
          <w:marLeft w:val="446"/>
          <w:marRight w:val="0"/>
          <w:marTop w:val="0"/>
          <w:marBottom w:val="0"/>
          <w:divBdr>
            <w:top w:val="none" w:sz="0" w:space="0" w:color="auto"/>
            <w:left w:val="none" w:sz="0" w:space="0" w:color="auto"/>
            <w:bottom w:val="none" w:sz="0" w:space="0" w:color="auto"/>
            <w:right w:val="none" w:sz="0" w:space="0" w:color="auto"/>
          </w:divBdr>
        </w:div>
        <w:div w:id="1002507535">
          <w:marLeft w:val="446"/>
          <w:marRight w:val="0"/>
          <w:marTop w:val="0"/>
          <w:marBottom w:val="0"/>
          <w:divBdr>
            <w:top w:val="none" w:sz="0" w:space="0" w:color="auto"/>
            <w:left w:val="none" w:sz="0" w:space="0" w:color="auto"/>
            <w:bottom w:val="none" w:sz="0" w:space="0" w:color="auto"/>
            <w:right w:val="none" w:sz="0" w:space="0" w:color="auto"/>
          </w:divBdr>
        </w:div>
      </w:divsChild>
    </w:div>
    <w:div w:id="407120958">
      <w:bodyDiv w:val="1"/>
      <w:marLeft w:val="0"/>
      <w:marRight w:val="0"/>
      <w:marTop w:val="0"/>
      <w:marBottom w:val="0"/>
      <w:divBdr>
        <w:top w:val="none" w:sz="0" w:space="0" w:color="auto"/>
        <w:left w:val="none" w:sz="0" w:space="0" w:color="auto"/>
        <w:bottom w:val="none" w:sz="0" w:space="0" w:color="auto"/>
        <w:right w:val="none" w:sz="0" w:space="0" w:color="auto"/>
      </w:divBdr>
    </w:div>
    <w:div w:id="1318262812">
      <w:bodyDiv w:val="1"/>
      <w:marLeft w:val="0"/>
      <w:marRight w:val="0"/>
      <w:marTop w:val="0"/>
      <w:marBottom w:val="0"/>
      <w:divBdr>
        <w:top w:val="none" w:sz="0" w:space="0" w:color="auto"/>
        <w:left w:val="none" w:sz="0" w:space="0" w:color="auto"/>
        <w:bottom w:val="none" w:sz="0" w:space="0" w:color="auto"/>
        <w:right w:val="none" w:sz="0" w:space="0" w:color="auto"/>
      </w:divBdr>
    </w:div>
    <w:div w:id="1783376319">
      <w:bodyDiv w:val="1"/>
      <w:marLeft w:val="0"/>
      <w:marRight w:val="0"/>
      <w:marTop w:val="0"/>
      <w:marBottom w:val="0"/>
      <w:divBdr>
        <w:top w:val="none" w:sz="0" w:space="0" w:color="auto"/>
        <w:left w:val="none" w:sz="0" w:space="0" w:color="auto"/>
        <w:bottom w:val="none" w:sz="0" w:space="0" w:color="auto"/>
        <w:right w:val="none" w:sz="0" w:space="0" w:color="auto"/>
      </w:divBdr>
    </w:div>
    <w:div w:id="18980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r.icrisat.org/11246/" TargetMode="External"/><Relationship Id="rId13" Type="http://schemas.openxmlformats.org/officeDocument/2006/relationships/hyperlink" Target="https://www.thehindu.com/news/national/telangana/dynamic-modelling-to-help-improve-farm-output/article30462219.e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rp-gldc.icrisat.org/GLDC_POWB-Final.pdf" TargetMode="External"/><Relationship Id="rId12" Type="http://schemas.openxmlformats.org/officeDocument/2006/relationships/hyperlink" Target="https://doi:10.3390/agriculture9090185" TargetMode="External"/><Relationship Id="rId17" Type="http://schemas.openxmlformats.org/officeDocument/2006/relationships/hyperlink" Target="https://hdl.handle.net/20.500.11766/10721" TargetMode="External"/><Relationship Id="rId2" Type="http://schemas.openxmlformats.org/officeDocument/2006/relationships/styles" Target="styles.xml"/><Relationship Id="rId16" Type="http://schemas.openxmlformats.org/officeDocument/2006/relationships/hyperlink" Target="https://hdl.handle.net/20.500.11766/1072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csita.cz/" TargetMode="External"/><Relationship Id="rId5" Type="http://schemas.openxmlformats.org/officeDocument/2006/relationships/footnotes" Target="footnotes.xml"/><Relationship Id="rId15" Type="http://schemas.openxmlformats.org/officeDocument/2006/relationships/hyperlink" Target="https://doi.org/10.1080/14735903.2019.1609166" TargetMode="External"/><Relationship Id="rId10" Type="http://schemas.openxmlformats.org/officeDocument/2006/relationships/hyperlink" Target="http://dx.doi.org/10.1071/FP133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scmsc.pps.wur.nl/assessment-potential-future-sustain-ability-smallholder-farming-old-cotton-basin-mali" TargetMode="External"/><Relationship Id="rId14" Type="http://schemas.openxmlformats.org/officeDocument/2006/relationships/hyperlink" Target="https://www.cgiar.org/news-events/news/understanding-food-systems-transitions-is-key-to-achieve-nutritional-outcom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8</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Bonaiuti, Enrico (ICARDA)</dc:creator>
  <cp:keywords/>
  <dc:description/>
  <cp:lastModifiedBy>shalander kumar</cp:lastModifiedBy>
  <cp:revision>35</cp:revision>
  <dcterms:created xsi:type="dcterms:W3CDTF">2019-01-20T13:25:00Z</dcterms:created>
  <dcterms:modified xsi:type="dcterms:W3CDTF">2021-03-02T04:36:00Z</dcterms:modified>
</cp:coreProperties>
</file>