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0B9E" w14:textId="77777777" w:rsidR="0029736A" w:rsidRDefault="0029736A" w:rsidP="006F4708">
      <w:pPr>
        <w:jc w:val="center"/>
        <w:rPr>
          <w:rFonts w:ascii="Arial" w:hAnsi="Arial" w:cs="Arial"/>
          <w:b/>
          <w:bCs/>
          <w:sz w:val="32"/>
          <w:szCs w:val="32"/>
        </w:rPr>
      </w:pPr>
    </w:p>
    <w:p w14:paraId="10C908F9" w14:textId="77777777" w:rsidR="0029736A" w:rsidRDefault="0029736A" w:rsidP="006F4708">
      <w:pPr>
        <w:jc w:val="center"/>
        <w:rPr>
          <w:rFonts w:ascii="Arial" w:hAnsi="Arial" w:cs="Arial"/>
          <w:b/>
          <w:bCs/>
          <w:sz w:val="48"/>
          <w:szCs w:val="48"/>
        </w:rPr>
      </w:pPr>
    </w:p>
    <w:p w14:paraId="77E0B4C3" w14:textId="77777777" w:rsidR="0029736A" w:rsidRDefault="0029736A" w:rsidP="006F4708">
      <w:pPr>
        <w:jc w:val="center"/>
        <w:rPr>
          <w:rFonts w:ascii="Arial" w:hAnsi="Arial" w:cs="Arial"/>
          <w:b/>
          <w:bCs/>
          <w:sz w:val="48"/>
          <w:szCs w:val="48"/>
        </w:rPr>
      </w:pPr>
    </w:p>
    <w:p w14:paraId="57A67AAD" w14:textId="0B69E0C6" w:rsidR="00207D81" w:rsidRPr="0029736A" w:rsidRDefault="006F4708" w:rsidP="006F4708">
      <w:pPr>
        <w:jc w:val="center"/>
        <w:rPr>
          <w:rFonts w:ascii="Arial" w:hAnsi="Arial" w:cs="Arial"/>
          <w:b/>
          <w:bCs/>
          <w:sz w:val="48"/>
          <w:szCs w:val="48"/>
        </w:rPr>
      </w:pPr>
      <w:r w:rsidRPr="0029736A">
        <w:rPr>
          <w:rFonts w:ascii="Arial" w:hAnsi="Arial" w:cs="Arial"/>
          <w:b/>
          <w:bCs/>
          <w:sz w:val="48"/>
          <w:szCs w:val="48"/>
        </w:rPr>
        <w:t>Testing the GLDC Scaling Framework</w:t>
      </w:r>
      <w:r w:rsidR="00207D81" w:rsidRPr="0029736A">
        <w:rPr>
          <w:rFonts w:ascii="Arial" w:hAnsi="Arial" w:cs="Arial"/>
          <w:b/>
          <w:bCs/>
          <w:sz w:val="48"/>
          <w:szCs w:val="48"/>
        </w:rPr>
        <w:t xml:space="preserve">: </w:t>
      </w:r>
    </w:p>
    <w:p w14:paraId="3E461DAA" w14:textId="2C017A08" w:rsidR="006F4708" w:rsidRPr="0029736A" w:rsidRDefault="006F4708" w:rsidP="006F4708">
      <w:pPr>
        <w:jc w:val="center"/>
        <w:rPr>
          <w:rFonts w:ascii="Arial" w:hAnsi="Arial" w:cs="Arial"/>
          <w:b/>
          <w:bCs/>
          <w:sz w:val="48"/>
          <w:szCs w:val="48"/>
        </w:rPr>
      </w:pPr>
      <w:r w:rsidRPr="0029736A">
        <w:rPr>
          <w:rFonts w:ascii="Arial" w:hAnsi="Arial" w:cs="Arial"/>
          <w:b/>
          <w:bCs/>
          <w:sz w:val="48"/>
          <w:szCs w:val="48"/>
        </w:rPr>
        <w:t xml:space="preserve">Design, Performance, </w:t>
      </w:r>
      <w:r w:rsidR="001438E6" w:rsidRPr="0029736A">
        <w:rPr>
          <w:rFonts w:ascii="Arial" w:hAnsi="Arial" w:cs="Arial"/>
          <w:b/>
          <w:bCs/>
          <w:sz w:val="48"/>
          <w:szCs w:val="48"/>
        </w:rPr>
        <w:t>and Gaps</w:t>
      </w:r>
    </w:p>
    <w:p w14:paraId="22ECDB53" w14:textId="77777777" w:rsidR="006F4708" w:rsidRPr="009E5CFB" w:rsidRDefault="006F4708" w:rsidP="006F4708">
      <w:pPr>
        <w:jc w:val="center"/>
        <w:rPr>
          <w:rFonts w:ascii="Arial" w:hAnsi="Arial" w:cs="Arial"/>
          <w:b/>
          <w:bCs/>
        </w:rPr>
      </w:pPr>
    </w:p>
    <w:p w14:paraId="6025287C" w14:textId="6DCCF939" w:rsidR="0029736A" w:rsidRDefault="0029736A" w:rsidP="006F4708">
      <w:pPr>
        <w:jc w:val="center"/>
        <w:rPr>
          <w:rFonts w:ascii="Arial" w:hAnsi="Arial" w:cs="Arial"/>
          <w:b/>
          <w:bCs/>
          <w:color w:val="A6A6A6" w:themeColor="background1" w:themeShade="A6"/>
          <w:sz w:val="96"/>
          <w:szCs w:val="96"/>
        </w:rPr>
      </w:pPr>
    </w:p>
    <w:p w14:paraId="6B81E6E2" w14:textId="77777777" w:rsidR="007328D0" w:rsidRDefault="007328D0" w:rsidP="006F4708">
      <w:pPr>
        <w:jc w:val="center"/>
        <w:rPr>
          <w:rFonts w:ascii="Arial" w:hAnsi="Arial" w:cs="Arial"/>
          <w:b/>
          <w:bCs/>
          <w:color w:val="A6A6A6" w:themeColor="background1" w:themeShade="A6"/>
          <w:sz w:val="96"/>
          <w:szCs w:val="96"/>
        </w:rPr>
      </w:pPr>
    </w:p>
    <w:p w14:paraId="73A6CD73" w14:textId="0C8F17B5" w:rsidR="006F4708" w:rsidRPr="009B6D32" w:rsidRDefault="006F4708" w:rsidP="006F4708">
      <w:pPr>
        <w:jc w:val="center"/>
        <w:rPr>
          <w:rFonts w:ascii="Arial" w:hAnsi="Arial" w:cs="Arial"/>
          <w:b/>
          <w:bCs/>
          <w:color w:val="A6A6A6" w:themeColor="background1" w:themeShade="A6"/>
          <w:sz w:val="96"/>
          <w:szCs w:val="96"/>
        </w:rPr>
      </w:pPr>
      <w:r w:rsidRPr="009B6D32">
        <w:rPr>
          <w:rFonts w:ascii="Arial" w:hAnsi="Arial" w:cs="Arial"/>
          <w:b/>
          <w:bCs/>
          <w:color w:val="A6A6A6" w:themeColor="background1" w:themeShade="A6"/>
          <w:sz w:val="96"/>
          <w:szCs w:val="96"/>
        </w:rPr>
        <w:t>Draft Report</w:t>
      </w:r>
    </w:p>
    <w:p w14:paraId="340E9E20" w14:textId="2FD4F3CA" w:rsidR="00020A76" w:rsidRDefault="00020A76" w:rsidP="006F4708">
      <w:pPr>
        <w:jc w:val="center"/>
        <w:rPr>
          <w:rFonts w:ascii="Arial" w:hAnsi="Arial" w:cs="Arial"/>
          <w:b/>
          <w:bCs/>
        </w:rPr>
      </w:pPr>
    </w:p>
    <w:p w14:paraId="5D9481BE" w14:textId="77777777" w:rsidR="0029736A" w:rsidRDefault="0029736A" w:rsidP="006F4708">
      <w:pPr>
        <w:jc w:val="center"/>
        <w:rPr>
          <w:rFonts w:ascii="Arial" w:hAnsi="Arial" w:cs="Arial"/>
          <w:b/>
          <w:bCs/>
        </w:rPr>
      </w:pPr>
    </w:p>
    <w:p w14:paraId="7BF5CC1F" w14:textId="77777777" w:rsidR="0029736A" w:rsidRDefault="0029736A" w:rsidP="006F4708">
      <w:pPr>
        <w:jc w:val="center"/>
        <w:rPr>
          <w:rFonts w:ascii="Arial" w:hAnsi="Arial" w:cs="Arial"/>
          <w:b/>
          <w:bCs/>
        </w:rPr>
      </w:pPr>
    </w:p>
    <w:p w14:paraId="0B68A8F8" w14:textId="77777777" w:rsidR="0029736A" w:rsidRDefault="0029736A" w:rsidP="006F4708">
      <w:pPr>
        <w:jc w:val="center"/>
        <w:rPr>
          <w:rFonts w:ascii="Arial" w:hAnsi="Arial" w:cs="Arial"/>
          <w:b/>
          <w:bCs/>
        </w:rPr>
      </w:pPr>
    </w:p>
    <w:p w14:paraId="73A3CAD2" w14:textId="77777777" w:rsidR="0029736A" w:rsidRDefault="0029736A" w:rsidP="006F4708">
      <w:pPr>
        <w:jc w:val="center"/>
        <w:rPr>
          <w:rFonts w:ascii="Arial" w:hAnsi="Arial" w:cs="Arial"/>
          <w:b/>
          <w:bCs/>
        </w:rPr>
      </w:pPr>
    </w:p>
    <w:p w14:paraId="013A8C74" w14:textId="77777777" w:rsidR="0029736A" w:rsidRDefault="0029736A" w:rsidP="006F4708">
      <w:pPr>
        <w:jc w:val="center"/>
        <w:rPr>
          <w:rFonts w:ascii="Arial" w:hAnsi="Arial" w:cs="Arial"/>
          <w:b/>
          <w:bCs/>
        </w:rPr>
      </w:pPr>
    </w:p>
    <w:p w14:paraId="720A2203" w14:textId="6DA8D685" w:rsidR="00020A76" w:rsidRDefault="00020A76" w:rsidP="006F4708">
      <w:pPr>
        <w:jc w:val="center"/>
        <w:rPr>
          <w:rFonts w:ascii="Arial" w:hAnsi="Arial" w:cs="Arial"/>
          <w:b/>
          <w:bCs/>
        </w:rPr>
      </w:pPr>
      <w:r>
        <w:rPr>
          <w:rFonts w:ascii="Arial" w:hAnsi="Arial" w:cs="Arial"/>
          <w:b/>
          <w:bCs/>
        </w:rPr>
        <w:t>Karl Hughes</w:t>
      </w:r>
    </w:p>
    <w:p w14:paraId="5FC343E5" w14:textId="77777777" w:rsidR="00020A76" w:rsidRDefault="00020A76" w:rsidP="006F4708">
      <w:pPr>
        <w:jc w:val="center"/>
        <w:rPr>
          <w:rFonts w:ascii="Arial" w:hAnsi="Arial" w:cs="Arial"/>
          <w:b/>
          <w:bCs/>
        </w:rPr>
      </w:pPr>
      <w:r>
        <w:rPr>
          <w:rFonts w:ascii="Arial" w:hAnsi="Arial" w:cs="Arial"/>
          <w:b/>
          <w:bCs/>
        </w:rPr>
        <w:t>Kai Mausch</w:t>
      </w:r>
    </w:p>
    <w:p w14:paraId="17994EC6" w14:textId="480238E0" w:rsidR="00020A76" w:rsidRDefault="00020A76" w:rsidP="006F4708">
      <w:pPr>
        <w:jc w:val="center"/>
        <w:rPr>
          <w:rFonts w:ascii="Arial" w:hAnsi="Arial" w:cs="Arial"/>
          <w:b/>
          <w:bCs/>
        </w:rPr>
      </w:pPr>
      <w:r>
        <w:rPr>
          <w:rFonts w:ascii="Arial" w:hAnsi="Arial" w:cs="Arial"/>
          <w:b/>
          <w:bCs/>
        </w:rPr>
        <w:t>Alastair Orr</w:t>
      </w:r>
    </w:p>
    <w:p w14:paraId="184CC0AB" w14:textId="38D57428" w:rsidR="00020A76" w:rsidRPr="009E5CFB" w:rsidRDefault="00020A76" w:rsidP="006F4708">
      <w:pPr>
        <w:jc w:val="center"/>
        <w:rPr>
          <w:rFonts w:ascii="Arial" w:hAnsi="Arial" w:cs="Arial"/>
          <w:b/>
          <w:bCs/>
        </w:rPr>
      </w:pPr>
      <w:r>
        <w:rPr>
          <w:rFonts w:ascii="Arial" w:hAnsi="Arial" w:cs="Arial"/>
          <w:b/>
          <w:bCs/>
        </w:rPr>
        <w:t>Anne Mureithi</w:t>
      </w:r>
    </w:p>
    <w:p w14:paraId="7D1A92E2" w14:textId="77777777" w:rsidR="00020A76" w:rsidRDefault="00020A76" w:rsidP="006F4708">
      <w:pPr>
        <w:jc w:val="center"/>
        <w:rPr>
          <w:rFonts w:ascii="Arial" w:hAnsi="Arial" w:cs="Arial"/>
          <w:b/>
          <w:bCs/>
          <w:sz w:val="28"/>
          <w:szCs w:val="28"/>
        </w:rPr>
      </w:pPr>
    </w:p>
    <w:p w14:paraId="4780985D" w14:textId="77777777" w:rsidR="00020A76" w:rsidRDefault="00020A76" w:rsidP="006F4708">
      <w:pPr>
        <w:jc w:val="center"/>
        <w:rPr>
          <w:rFonts w:ascii="Arial" w:hAnsi="Arial" w:cs="Arial"/>
          <w:b/>
          <w:bCs/>
          <w:sz w:val="28"/>
          <w:szCs w:val="28"/>
        </w:rPr>
      </w:pPr>
    </w:p>
    <w:p w14:paraId="3767A956" w14:textId="203583DC" w:rsidR="006F4708" w:rsidRPr="006A45A1" w:rsidRDefault="00886391" w:rsidP="006F4708">
      <w:pPr>
        <w:jc w:val="center"/>
        <w:rPr>
          <w:rFonts w:ascii="Arial" w:hAnsi="Arial" w:cs="Arial"/>
          <w:b/>
          <w:bCs/>
          <w:sz w:val="28"/>
          <w:szCs w:val="28"/>
        </w:rPr>
      </w:pPr>
      <w:r>
        <w:rPr>
          <w:rFonts w:ascii="Arial" w:hAnsi="Arial" w:cs="Arial"/>
          <w:b/>
          <w:bCs/>
          <w:sz w:val="28"/>
          <w:szCs w:val="28"/>
        </w:rPr>
        <w:t>29</w:t>
      </w:r>
      <w:r w:rsidR="006F4708" w:rsidRPr="006A45A1">
        <w:rPr>
          <w:rFonts w:ascii="Arial" w:hAnsi="Arial" w:cs="Arial"/>
          <w:b/>
          <w:bCs/>
          <w:sz w:val="28"/>
          <w:szCs w:val="28"/>
        </w:rPr>
        <w:t xml:space="preserve"> October 2019</w:t>
      </w:r>
    </w:p>
    <w:p w14:paraId="1902C531" w14:textId="2F8EDCE0" w:rsidR="001A41A9" w:rsidRDefault="0013068E" w:rsidP="00F903DC">
      <w:pPr>
        <w:jc w:val="center"/>
        <w:rPr>
          <w:rFonts w:ascii="Arial" w:hAnsi="Arial" w:cs="Arial"/>
          <w:b/>
          <w:bCs/>
        </w:rPr>
      </w:pPr>
      <w:r w:rsidRPr="009E5CFB">
        <w:rPr>
          <w:rFonts w:ascii="Arial" w:hAnsi="Arial" w:cs="Arial"/>
        </w:rPr>
        <w:br w:type="page"/>
      </w:r>
      <w:r w:rsidR="001A41A9" w:rsidRPr="009E5CFB">
        <w:rPr>
          <w:rFonts w:ascii="Arial" w:hAnsi="Arial" w:cs="Arial"/>
          <w:b/>
          <w:bCs/>
        </w:rPr>
        <w:lastRenderedPageBreak/>
        <w:t>Abstract</w:t>
      </w:r>
    </w:p>
    <w:p w14:paraId="12208F26" w14:textId="33EC4685" w:rsidR="007C1895" w:rsidRDefault="00B56BBE" w:rsidP="00B56BBE">
      <w:pPr>
        <w:jc w:val="both"/>
        <w:rPr>
          <w:rFonts w:ascii="Arial" w:hAnsi="Arial" w:cs="Arial"/>
        </w:rPr>
      </w:pPr>
      <w:r w:rsidRPr="00B56BBE">
        <w:rPr>
          <w:rFonts w:ascii="Arial" w:hAnsi="Arial" w:cs="Arial"/>
        </w:rPr>
        <w:t xml:space="preserve">Accelerating the adoption of new technology – improved varieties and management practices – by smallholders remains a challenge for agricultural research and extension systems, particularly in </w:t>
      </w:r>
      <w:r w:rsidR="000F09A4">
        <w:rPr>
          <w:rFonts w:ascii="Arial" w:hAnsi="Arial" w:cs="Arial"/>
        </w:rPr>
        <w:t xml:space="preserve">sub-Saharan Africa. The objective of the CGIAR Grain Legumes and Dryland Cereals (GLDC) research program is to achieve adoption of these technologies at scale in the semi-arid environment. </w:t>
      </w:r>
      <w:r>
        <w:rPr>
          <w:rFonts w:ascii="Arial" w:hAnsi="Arial" w:cs="Arial"/>
        </w:rPr>
        <w:t xml:space="preserve"> </w:t>
      </w:r>
      <w:r w:rsidR="009C6F15">
        <w:rPr>
          <w:rFonts w:ascii="Arial" w:hAnsi="Arial" w:cs="Arial"/>
        </w:rPr>
        <w:t xml:space="preserve">The program has </w:t>
      </w:r>
      <w:r>
        <w:rPr>
          <w:rFonts w:ascii="Arial" w:hAnsi="Arial" w:cs="Arial"/>
        </w:rPr>
        <w:t xml:space="preserve">developed a </w:t>
      </w:r>
      <w:r w:rsidR="001F56FB">
        <w:rPr>
          <w:rFonts w:ascii="Arial" w:hAnsi="Arial" w:cs="Arial"/>
        </w:rPr>
        <w:t xml:space="preserve">scaling </w:t>
      </w:r>
      <w:r w:rsidR="000F09A4">
        <w:rPr>
          <w:rFonts w:ascii="Arial" w:hAnsi="Arial" w:cs="Arial"/>
        </w:rPr>
        <w:t>f</w:t>
      </w:r>
      <w:r>
        <w:rPr>
          <w:rFonts w:ascii="Arial" w:hAnsi="Arial" w:cs="Arial"/>
        </w:rPr>
        <w:t xml:space="preserve">ramework </w:t>
      </w:r>
      <w:r w:rsidR="000F09A4">
        <w:rPr>
          <w:rFonts w:ascii="Arial" w:hAnsi="Arial" w:cs="Arial"/>
        </w:rPr>
        <w:t xml:space="preserve">which integrates </w:t>
      </w:r>
      <w:r w:rsidR="006279EF">
        <w:rPr>
          <w:rFonts w:ascii="Arial" w:hAnsi="Arial" w:cs="Arial"/>
        </w:rPr>
        <w:t>nine</w:t>
      </w:r>
      <w:r w:rsidR="000F09A4">
        <w:rPr>
          <w:rFonts w:ascii="Arial" w:hAnsi="Arial" w:cs="Arial"/>
        </w:rPr>
        <w:t xml:space="preserve"> components </w:t>
      </w:r>
      <w:r w:rsidR="001F56FB">
        <w:rPr>
          <w:rFonts w:ascii="Arial" w:hAnsi="Arial" w:cs="Arial"/>
        </w:rPr>
        <w:t xml:space="preserve">required for </w:t>
      </w:r>
      <w:r w:rsidR="000F09A4">
        <w:rPr>
          <w:rFonts w:ascii="Arial" w:hAnsi="Arial" w:cs="Arial"/>
        </w:rPr>
        <w:t xml:space="preserve">successful </w:t>
      </w:r>
      <w:r>
        <w:rPr>
          <w:rFonts w:ascii="Arial" w:hAnsi="Arial" w:cs="Arial"/>
        </w:rPr>
        <w:t xml:space="preserve">scaling </w:t>
      </w:r>
      <w:r w:rsidR="000F09A4">
        <w:rPr>
          <w:rFonts w:ascii="Arial" w:hAnsi="Arial" w:cs="Arial"/>
        </w:rPr>
        <w:t xml:space="preserve">of </w:t>
      </w:r>
      <w:r>
        <w:rPr>
          <w:rFonts w:ascii="Arial" w:hAnsi="Arial" w:cs="Arial"/>
        </w:rPr>
        <w:t>these technologies.</w:t>
      </w:r>
      <w:r w:rsidR="000F09A4">
        <w:rPr>
          <w:rFonts w:ascii="Arial" w:hAnsi="Arial" w:cs="Arial"/>
        </w:rPr>
        <w:t xml:space="preserve"> We tested </w:t>
      </w:r>
      <w:r w:rsidR="006D69B2">
        <w:rPr>
          <w:rFonts w:ascii="Arial" w:hAnsi="Arial" w:cs="Arial"/>
        </w:rPr>
        <w:t xml:space="preserve">the utility of </w:t>
      </w:r>
      <w:r w:rsidR="000F09A4">
        <w:rPr>
          <w:rFonts w:ascii="Arial" w:hAnsi="Arial" w:cs="Arial"/>
        </w:rPr>
        <w:t>th</w:t>
      </w:r>
      <w:r w:rsidR="001F56FB">
        <w:rPr>
          <w:rFonts w:ascii="Arial" w:hAnsi="Arial" w:cs="Arial"/>
        </w:rPr>
        <w:t>is</w:t>
      </w:r>
      <w:r w:rsidR="000F09A4">
        <w:rPr>
          <w:rFonts w:ascii="Arial" w:hAnsi="Arial" w:cs="Arial"/>
        </w:rPr>
        <w:t xml:space="preserve"> framework </w:t>
      </w:r>
      <w:r w:rsidR="006D69B2">
        <w:rPr>
          <w:rFonts w:ascii="Arial" w:hAnsi="Arial" w:cs="Arial"/>
        </w:rPr>
        <w:t xml:space="preserve">using case studies of four large scaling projects. The framework </w:t>
      </w:r>
      <w:r w:rsidR="009C6F15">
        <w:rPr>
          <w:rFonts w:ascii="Arial" w:hAnsi="Arial" w:cs="Arial"/>
        </w:rPr>
        <w:t xml:space="preserve">was useful because it provided a systematic way to review the design of the projects and their scaling methods. This highlighted potential design flaws as well as opportunities for testing alternative scaling methods. </w:t>
      </w:r>
      <w:r w:rsidR="003627AD">
        <w:rPr>
          <w:rFonts w:ascii="Arial" w:hAnsi="Arial" w:cs="Arial"/>
        </w:rPr>
        <w:t>T</w:t>
      </w:r>
      <w:r w:rsidR="009C6F15">
        <w:rPr>
          <w:rFonts w:ascii="Arial" w:hAnsi="Arial" w:cs="Arial"/>
        </w:rPr>
        <w:t>he framework was less useful for evaluating project performance</w:t>
      </w:r>
      <w:r w:rsidR="003627AD">
        <w:rPr>
          <w:rFonts w:ascii="Arial" w:hAnsi="Arial" w:cs="Arial"/>
        </w:rPr>
        <w:t xml:space="preserve">. Although </w:t>
      </w:r>
      <w:r w:rsidR="009C6F15">
        <w:rPr>
          <w:rFonts w:ascii="Arial" w:hAnsi="Arial" w:cs="Arial"/>
        </w:rPr>
        <w:t xml:space="preserve">poor performance </w:t>
      </w:r>
      <w:r w:rsidR="003627AD">
        <w:rPr>
          <w:rFonts w:ascii="Arial" w:hAnsi="Arial" w:cs="Arial"/>
        </w:rPr>
        <w:t xml:space="preserve">may </w:t>
      </w:r>
      <w:r w:rsidR="009C6F15">
        <w:rPr>
          <w:rFonts w:ascii="Arial" w:hAnsi="Arial" w:cs="Arial"/>
        </w:rPr>
        <w:t xml:space="preserve">be the result of poor design it may also be the result of factors beyond the project’s control. Rather than use the framework to adjudicate ‘success’ or ‘failure’ </w:t>
      </w:r>
      <w:r w:rsidR="003627AD">
        <w:rPr>
          <w:rFonts w:ascii="Arial" w:hAnsi="Arial" w:cs="Arial"/>
        </w:rPr>
        <w:t xml:space="preserve">the framework is more useful as a springboard for </w:t>
      </w:r>
      <w:r w:rsidR="00E45224">
        <w:rPr>
          <w:rFonts w:ascii="Arial" w:hAnsi="Arial" w:cs="Arial"/>
        </w:rPr>
        <w:t xml:space="preserve">systematic </w:t>
      </w:r>
      <w:r w:rsidR="003627AD">
        <w:rPr>
          <w:rFonts w:ascii="Arial" w:hAnsi="Arial" w:cs="Arial"/>
        </w:rPr>
        <w:t xml:space="preserve">learning from </w:t>
      </w:r>
      <w:r w:rsidR="00E45224">
        <w:rPr>
          <w:rFonts w:ascii="Arial" w:hAnsi="Arial" w:cs="Arial"/>
        </w:rPr>
        <w:t xml:space="preserve">project </w:t>
      </w:r>
      <w:r w:rsidR="003627AD">
        <w:rPr>
          <w:rFonts w:ascii="Arial" w:hAnsi="Arial" w:cs="Arial"/>
        </w:rPr>
        <w:t xml:space="preserve">experience </w:t>
      </w:r>
      <w:r w:rsidR="00E45224">
        <w:rPr>
          <w:rFonts w:ascii="Arial" w:hAnsi="Arial" w:cs="Arial"/>
        </w:rPr>
        <w:t xml:space="preserve">and ensuring that </w:t>
      </w:r>
      <w:r w:rsidR="00B70291">
        <w:rPr>
          <w:rFonts w:ascii="Arial" w:hAnsi="Arial" w:cs="Arial"/>
        </w:rPr>
        <w:t xml:space="preserve">these </w:t>
      </w:r>
      <w:r w:rsidR="00E45224">
        <w:rPr>
          <w:rFonts w:ascii="Arial" w:hAnsi="Arial" w:cs="Arial"/>
        </w:rPr>
        <w:t>lessons are incorporated in the design of future scaling projects. The case</w:t>
      </w:r>
      <w:r w:rsidR="009C6F15">
        <w:rPr>
          <w:rFonts w:ascii="Arial" w:hAnsi="Arial" w:cs="Arial"/>
        </w:rPr>
        <w:t xml:space="preserve"> </w:t>
      </w:r>
      <w:r w:rsidR="00E45224">
        <w:rPr>
          <w:rFonts w:ascii="Arial" w:hAnsi="Arial" w:cs="Arial"/>
        </w:rPr>
        <w:t xml:space="preserve">studies exposed some gaps in the framework. One is the need to situate the framework in its wider context, as the product of a theory of change based on the transition from subsistence to commercial agriculture. Another gap is insufficient attention to process, </w:t>
      </w:r>
      <w:r w:rsidR="00DA697C">
        <w:rPr>
          <w:rFonts w:ascii="Arial" w:hAnsi="Arial" w:cs="Arial"/>
        </w:rPr>
        <w:t xml:space="preserve">specifically </w:t>
      </w:r>
      <w:r w:rsidR="00E45224">
        <w:rPr>
          <w:rFonts w:ascii="Arial" w:hAnsi="Arial" w:cs="Arial"/>
        </w:rPr>
        <w:t xml:space="preserve">partnerships and gender, which </w:t>
      </w:r>
      <w:r w:rsidR="00B654AB">
        <w:rPr>
          <w:rFonts w:ascii="Arial" w:hAnsi="Arial" w:cs="Arial"/>
        </w:rPr>
        <w:t xml:space="preserve">are </w:t>
      </w:r>
      <w:r w:rsidR="00E45224">
        <w:rPr>
          <w:rFonts w:ascii="Arial" w:hAnsi="Arial" w:cs="Arial"/>
        </w:rPr>
        <w:t>both emphas</w:t>
      </w:r>
      <w:r w:rsidR="00B654AB">
        <w:rPr>
          <w:rFonts w:ascii="Arial" w:hAnsi="Arial" w:cs="Arial"/>
        </w:rPr>
        <w:t xml:space="preserve">ised </w:t>
      </w:r>
      <w:r w:rsidR="00E45224">
        <w:rPr>
          <w:rFonts w:ascii="Arial" w:hAnsi="Arial" w:cs="Arial"/>
        </w:rPr>
        <w:t xml:space="preserve">in the case study projects. </w:t>
      </w:r>
      <w:r w:rsidR="007C1895">
        <w:rPr>
          <w:rFonts w:ascii="Arial" w:hAnsi="Arial" w:cs="Arial"/>
        </w:rPr>
        <w:t xml:space="preserve">The framework is a useful visualisation of the scaling process. </w:t>
      </w:r>
      <w:r>
        <w:rPr>
          <w:rFonts w:ascii="Arial" w:hAnsi="Arial" w:cs="Arial"/>
        </w:rPr>
        <w:t xml:space="preserve">To realise its full potential, </w:t>
      </w:r>
      <w:r w:rsidR="007C1895">
        <w:rPr>
          <w:rFonts w:ascii="Arial" w:hAnsi="Arial" w:cs="Arial"/>
        </w:rPr>
        <w:t xml:space="preserve">however, </w:t>
      </w:r>
      <w:r>
        <w:rPr>
          <w:rFonts w:ascii="Arial" w:hAnsi="Arial" w:cs="Arial"/>
        </w:rPr>
        <w:t xml:space="preserve">the framework needs to </w:t>
      </w:r>
      <w:r w:rsidR="00513D1D">
        <w:rPr>
          <w:rFonts w:ascii="Arial" w:hAnsi="Arial" w:cs="Arial"/>
        </w:rPr>
        <w:t xml:space="preserve">be </w:t>
      </w:r>
      <w:r w:rsidR="007C1895">
        <w:rPr>
          <w:rFonts w:ascii="Arial" w:hAnsi="Arial" w:cs="Arial"/>
        </w:rPr>
        <w:t xml:space="preserve">developed into a scaling toolkit. This toolkit would </w:t>
      </w:r>
      <w:r w:rsidR="00513D1D">
        <w:rPr>
          <w:rFonts w:ascii="Arial" w:hAnsi="Arial" w:cs="Arial"/>
        </w:rPr>
        <w:t xml:space="preserve">set the framework in context, explain the </w:t>
      </w:r>
      <w:r w:rsidR="007C1895">
        <w:rPr>
          <w:rFonts w:ascii="Arial" w:hAnsi="Arial" w:cs="Arial"/>
        </w:rPr>
        <w:t>individual components in more detail, suggest</w:t>
      </w:r>
      <w:r w:rsidR="00E45224">
        <w:rPr>
          <w:rFonts w:ascii="Arial" w:hAnsi="Arial" w:cs="Arial"/>
        </w:rPr>
        <w:t>ing</w:t>
      </w:r>
      <w:r w:rsidR="007C1895">
        <w:rPr>
          <w:rFonts w:ascii="Arial" w:hAnsi="Arial" w:cs="Arial"/>
        </w:rPr>
        <w:t xml:space="preserve"> questions to ask </w:t>
      </w:r>
      <w:r w:rsidR="00886391">
        <w:rPr>
          <w:rFonts w:ascii="Arial" w:hAnsi="Arial" w:cs="Arial"/>
        </w:rPr>
        <w:t xml:space="preserve">about the content of each component, </w:t>
      </w:r>
      <w:r w:rsidR="00DA697C">
        <w:rPr>
          <w:rFonts w:ascii="Arial" w:hAnsi="Arial" w:cs="Arial"/>
        </w:rPr>
        <w:t xml:space="preserve">include </w:t>
      </w:r>
      <w:r w:rsidR="00E45224">
        <w:rPr>
          <w:rFonts w:ascii="Arial" w:hAnsi="Arial" w:cs="Arial"/>
        </w:rPr>
        <w:t xml:space="preserve">cross-cutting </w:t>
      </w:r>
      <w:r w:rsidR="00DA697C">
        <w:rPr>
          <w:rFonts w:ascii="Arial" w:hAnsi="Arial" w:cs="Arial"/>
        </w:rPr>
        <w:t xml:space="preserve">processes </w:t>
      </w:r>
      <w:r w:rsidR="00E45224">
        <w:rPr>
          <w:rFonts w:ascii="Arial" w:hAnsi="Arial" w:cs="Arial"/>
        </w:rPr>
        <w:t>like partnership</w:t>
      </w:r>
      <w:r w:rsidR="00C02C3B">
        <w:rPr>
          <w:rFonts w:ascii="Arial" w:hAnsi="Arial" w:cs="Arial"/>
        </w:rPr>
        <w:t>s</w:t>
      </w:r>
      <w:r w:rsidR="00E45224">
        <w:rPr>
          <w:rFonts w:ascii="Arial" w:hAnsi="Arial" w:cs="Arial"/>
        </w:rPr>
        <w:t xml:space="preserve"> and gender, </w:t>
      </w:r>
      <w:r w:rsidR="007C1895">
        <w:rPr>
          <w:rFonts w:ascii="Arial" w:hAnsi="Arial" w:cs="Arial"/>
        </w:rPr>
        <w:t xml:space="preserve">and give </w:t>
      </w:r>
      <w:r w:rsidR="00C02C3B">
        <w:rPr>
          <w:rFonts w:ascii="Arial" w:hAnsi="Arial" w:cs="Arial"/>
        </w:rPr>
        <w:t xml:space="preserve">concrete </w:t>
      </w:r>
      <w:r w:rsidR="007C1895">
        <w:rPr>
          <w:rFonts w:ascii="Arial" w:hAnsi="Arial" w:cs="Arial"/>
        </w:rPr>
        <w:t xml:space="preserve">examples of how the framework </w:t>
      </w:r>
      <w:r w:rsidR="00DA697C">
        <w:rPr>
          <w:rFonts w:ascii="Arial" w:hAnsi="Arial" w:cs="Arial"/>
        </w:rPr>
        <w:t xml:space="preserve">might </w:t>
      </w:r>
      <w:r w:rsidR="007C1895">
        <w:rPr>
          <w:rFonts w:ascii="Arial" w:hAnsi="Arial" w:cs="Arial"/>
        </w:rPr>
        <w:t xml:space="preserve">be applied </w:t>
      </w:r>
      <w:r w:rsidR="00E0611E">
        <w:rPr>
          <w:rFonts w:ascii="Arial" w:hAnsi="Arial" w:cs="Arial"/>
        </w:rPr>
        <w:t xml:space="preserve">in practice </w:t>
      </w:r>
      <w:r w:rsidR="007C1895">
        <w:rPr>
          <w:rFonts w:ascii="Arial" w:hAnsi="Arial" w:cs="Arial"/>
        </w:rPr>
        <w:t xml:space="preserve">to scaling projects. </w:t>
      </w:r>
    </w:p>
    <w:p w14:paraId="04C58B8A" w14:textId="77777777" w:rsidR="00B56BBE" w:rsidRDefault="00B56BBE" w:rsidP="00B56BBE">
      <w:pPr>
        <w:jc w:val="both"/>
        <w:rPr>
          <w:rFonts w:ascii="Arial" w:hAnsi="Arial" w:cs="Arial"/>
        </w:rPr>
      </w:pPr>
    </w:p>
    <w:p w14:paraId="5851586E" w14:textId="77777777" w:rsidR="00B56BBE" w:rsidRDefault="00B56BBE" w:rsidP="00B56BBE">
      <w:pPr>
        <w:jc w:val="both"/>
        <w:rPr>
          <w:rFonts w:ascii="Arial" w:hAnsi="Arial" w:cs="Arial"/>
        </w:rPr>
      </w:pPr>
    </w:p>
    <w:p w14:paraId="0FD2661F" w14:textId="77777777" w:rsidR="00B56BBE" w:rsidRDefault="00B56BBE" w:rsidP="001A41A9">
      <w:pPr>
        <w:jc w:val="center"/>
        <w:rPr>
          <w:rFonts w:ascii="Arial" w:hAnsi="Arial" w:cs="Arial"/>
          <w:b/>
          <w:bCs/>
        </w:rPr>
      </w:pPr>
    </w:p>
    <w:p w14:paraId="05D7F80B" w14:textId="49537DD6" w:rsidR="00C95D1C" w:rsidRDefault="00C95D1C" w:rsidP="001A41A9">
      <w:pPr>
        <w:jc w:val="center"/>
        <w:rPr>
          <w:rFonts w:ascii="Arial" w:hAnsi="Arial" w:cs="Arial"/>
          <w:b/>
          <w:bCs/>
        </w:rPr>
      </w:pPr>
    </w:p>
    <w:p w14:paraId="230F4B4B" w14:textId="1CC839D7" w:rsidR="00C95D1C" w:rsidRDefault="00C95D1C" w:rsidP="001A41A9">
      <w:pPr>
        <w:jc w:val="center"/>
        <w:rPr>
          <w:rFonts w:ascii="Arial" w:hAnsi="Arial" w:cs="Arial"/>
          <w:b/>
          <w:bCs/>
        </w:rPr>
      </w:pPr>
    </w:p>
    <w:p w14:paraId="2A94B3EB" w14:textId="77777777" w:rsidR="004C68B4" w:rsidRDefault="004C68B4">
      <w:pPr>
        <w:rPr>
          <w:rFonts w:ascii="Arial" w:hAnsi="Arial" w:cs="Arial"/>
          <w:b/>
          <w:bCs/>
        </w:rPr>
      </w:pPr>
      <w:r>
        <w:rPr>
          <w:rFonts w:ascii="Arial" w:hAnsi="Arial" w:cs="Arial"/>
          <w:b/>
          <w:bCs/>
        </w:rPr>
        <w:br w:type="page"/>
      </w:r>
    </w:p>
    <w:p w14:paraId="1ED8193E" w14:textId="0F4A25B1" w:rsidR="006F4708" w:rsidRPr="009E5CFB" w:rsidRDefault="0013068E" w:rsidP="001A41A9">
      <w:pPr>
        <w:jc w:val="both"/>
        <w:rPr>
          <w:rFonts w:ascii="Arial" w:hAnsi="Arial" w:cs="Arial"/>
        </w:rPr>
      </w:pPr>
      <w:r w:rsidRPr="009E5CFB">
        <w:rPr>
          <w:rFonts w:ascii="Arial" w:hAnsi="Arial" w:cs="Arial"/>
          <w:b/>
          <w:bCs/>
        </w:rPr>
        <w:lastRenderedPageBreak/>
        <w:t>Acknowledgements</w:t>
      </w:r>
      <w:r w:rsidRPr="009E5CFB">
        <w:rPr>
          <w:rFonts w:ascii="Arial" w:hAnsi="Arial" w:cs="Arial"/>
        </w:rPr>
        <w:t xml:space="preserve">: We are grateful to </w:t>
      </w:r>
      <w:r w:rsidR="006A45A1">
        <w:rPr>
          <w:rFonts w:ascii="Arial" w:hAnsi="Arial" w:cs="Arial"/>
        </w:rPr>
        <w:t>Chris Ojiewo, Moses Siambi</w:t>
      </w:r>
      <w:r w:rsidR="006555E4">
        <w:rPr>
          <w:rFonts w:ascii="Arial" w:hAnsi="Arial" w:cs="Arial"/>
        </w:rPr>
        <w:t xml:space="preserve">, Dominik Klauser, </w:t>
      </w:r>
      <w:r w:rsidR="001F73F6">
        <w:rPr>
          <w:rFonts w:ascii="Arial" w:hAnsi="Arial" w:cs="Arial"/>
        </w:rPr>
        <w:t xml:space="preserve">Cathy </w:t>
      </w:r>
      <w:proofErr w:type="spellStart"/>
      <w:r w:rsidR="001F73F6">
        <w:rPr>
          <w:rFonts w:ascii="Arial" w:hAnsi="Arial" w:cs="Arial"/>
        </w:rPr>
        <w:t>Mwema</w:t>
      </w:r>
      <w:proofErr w:type="spellEnd"/>
      <w:r w:rsidR="001F73F6">
        <w:rPr>
          <w:rFonts w:ascii="Arial" w:hAnsi="Arial" w:cs="Arial"/>
        </w:rPr>
        <w:t xml:space="preserve">, </w:t>
      </w:r>
      <w:r w:rsidR="006555E4">
        <w:rPr>
          <w:rFonts w:ascii="Arial" w:hAnsi="Arial" w:cs="Arial"/>
        </w:rPr>
        <w:t xml:space="preserve">and </w:t>
      </w:r>
      <w:r w:rsidR="00842E95">
        <w:rPr>
          <w:rFonts w:ascii="Arial" w:hAnsi="Arial" w:cs="Arial"/>
        </w:rPr>
        <w:t xml:space="preserve">Arega Alene </w:t>
      </w:r>
      <w:r w:rsidR="006555E4">
        <w:rPr>
          <w:rFonts w:ascii="Arial" w:hAnsi="Arial" w:cs="Arial"/>
        </w:rPr>
        <w:t xml:space="preserve">who </w:t>
      </w:r>
      <w:r w:rsidR="00842E95">
        <w:rPr>
          <w:rFonts w:ascii="Arial" w:hAnsi="Arial" w:cs="Arial"/>
        </w:rPr>
        <w:t xml:space="preserve">provided </w:t>
      </w:r>
      <w:r w:rsidRPr="009E5CFB">
        <w:rPr>
          <w:rFonts w:ascii="Arial" w:hAnsi="Arial" w:cs="Arial"/>
        </w:rPr>
        <w:t xml:space="preserve">information </w:t>
      </w:r>
      <w:r w:rsidR="00842E95">
        <w:rPr>
          <w:rFonts w:ascii="Arial" w:hAnsi="Arial" w:cs="Arial"/>
        </w:rPr>
        <w:t xml:space="preserve">and documents without which this article could not have been written. </w:t>
      </w:r>
      <w:r w:rsidRPr="009E5CFB">
        <w:rPr>
          <w:rFonts w:ascii="Arial" w:hAnsi="Arial" w:cs="Arial"/>
        </w:rPr>
        <w:t xml:space="preserve"> The views expressed in this report are those of the authors and should not be attributed to the organisations to which the</w:t>
      </w:r>
      <w:r w:rsidR="001A41A9" w:rsidRPr="009E5CFB">
        <w:rPr>
          <w:rFonts w:ascii="Arial" w:hAnsi="Arial" w:cs="Arial"/>
        </w:rPr>
        <w:t>y</w:t>
      </w:r>
      <w:r w:rsidRPr="009E5CFB">
        <w:rPr>
          <w:rFonts w:ascii="Arial" w:hAnsi="Arial" w:cs="Arial"/>
        </w:rPr>
        <w:t xml:space="preserve"> are affiliated.</w:t>
      </w:r>
    </w:p>
    <w:p w14:paraId="2B896762" w14:textId="77777777" w:rsidR="006F4708" w:rsidRPr="009E5CFB" w:rsidRDefault="006F4708">
      <w:pPr>
        <w:rPr>
          <w:rFonts w:ascii="Arial" w:hAnsi="Arial" w:cs="Arial"/>
        </w:rPr>
      </w:pPr>
      <w:r w:rsidRPr="009E5CFB">
        <w:rPr>
          <w:rFonts w:ascii="Arial" w:hAnsi="Arial" w:cs="Arial"/>
        </w:rPr>
        <w:br w:type="page"/>
      </w:r>
    </w:p>
    <w:p w14:paraId="22AD9E8E" w14:textId="10B1758B" w:rsidR="00CD046F" w:rsidRPr="009E5CFB" w:rsidRDefault="00CD046F" w:rsidP="00E05688">
      <w:pPr>
        <w:pStyle w:val="Footer"/>
        <w:numPr>
          <w:ilvl w:val="0"/>
          <w:numId w:val="2"/>
        </w:numPr>
        <w:jc w:val="center"/>
        <w:rPr>
          <w:rFonts w:ascii="Arial" w:hAnsi="Arial" w:cs="Arial"/>
          <w:b/>
          <w:bCs/>
        </w:rPr>
      </w:pPr>
      <w:r w:rsidRPr="009E5CFB">
        <w:rPr>
          <w:rFonts w:ascii="Arial" w:hAnsi="Arial" w:cs="Arial"/>
          <w:b/>
          <w:bCs/>
        </w:rPr>
        <w:lastRenderedPageBreak/>
        <w:t>Introduction</w:t>
      </w:r>
    </w:p>
    <w:p w14:paraId="37247213" w14:textId="77777777" w:rsidR="00CD046F" w:rsidRPr="009E5CFB" w:rsidRDefault="00CD046F" w:rsidP="00AE107A">
      <w:pPr>
        <w:pStyle w:val="Footer"/>
        <w:jc w:val="both"/>
        <w:rPr>
          <w:rFonts w:ascii="Arial" w:hAnsi="Arial" w:cs="Arial"/>
        </w:rPr>
      </w:pPr>
    </w:p>
    <w:p w14:paraId="705BBE61" w14:textId="33E31CDC" w:rsidR="00672F2C" w:rsidRPr="009E5CFB" w:rsidRDefault="006841E7" w:rsidP="00AE107A">
      <w:pPr>
        <w:pStyle w:val="Footer"/>
        <w:jc w:val="both"/>
        <w:rPr>
          <w:rFonts w:ascii="Arial" w:hAnsi="Arial" w:cs="Arial"/>
        </w:rPr>
      </w:pPr>
      <w:r w:rsidRPr="009E5CFB">
        <w:rPr>
          <w:rFonts w:ascii="Arial" w:hAnsi="Arial" w:cs="Arial"/>
        </w:rPr>
        <w:t xml:space="preserve">The low </w:t>
      </w:r>
      <w:r w:rsidR="006F4708" w:rsidRPr="009E5CFB">
        <w:rPr>
          <w:rFonts w:ascii="Arial" w:hAnsi="Arial" w:cs="Arial"/>
        </w:rPr>
        <w:t xml:space="preserve">adoption of </w:t>
      </w:r>
      <w:r w:rsidRPr="009E5CFB">
        <w:rPr>
          <w:rFonts w:ascii="Arial" w:hAnsi="Arial" w:cs="Arial"/>
        </w:rPr>
        <w:t xml:space="preserve">new technology </w:t>
      </w:r>
      <w:r w:rsidR="00E05688" w:rsidRPr="009E5CFB">
        <w:rPr>
          <w:rFonts w:ascii="Arial" w:hAnsi="Arial" w:cs="Arial"/>
        </w:rPr>
        <w:t xml:space="preserve">by smallholders </w:t>
      </w:r>
      <w:r w:rsidRPr="009E5CFB">
        <w:rPr>
          <w:rFonts w:ascii="Arial" w:hAnsi="Arial" w:cs="Arial"/>
        </w:rPr>
        <w:t>is a challenge to agricultural research in Sub-Saharan Africa. The search for explanations has a long history (</w:t>
      </w:r>
      <w:proofErr w:type="spellStart"/>
      <w:r w:rsidRPr="009E5CFB">
        <w:rPr>
          <w:rFonts w:ascii="Arial" w:hAnsi="Arial" w:cs="Arial"/>
        </w:rPr>
        <w:t>eg.</w:t>
      </w:r>
      <w:proofErr w:type="spellEnd"/>
      <w:r w:rsidRPr="009E5CFB">
        <w:rPr>
          <w:rFonts w:ascii="Arial" w:hAnsi="Arial" w:cs="Arial"/>
        </w:rPr>
        <w:t xml:space="preserve"> Anderson, 1992).  More recently, attention has focused on ‘the science of delivery’ or </w:t>
      </w:r>
      <w:r w:rsidR="008221AC">
        <w:rPr>
          <w:rFonts w:ascii="Arial" w:hAnsi="Arial" w:cs="Arial"/>
        </w:rPr>
        <w:t xml:space="preserve">to </w:t>
      </w:r>
      <w:r w:rsidR="004E52AC">
        <w:rPr>
          <w:rFonts w:ascii="Arial" w:hAnsi="Arial" w:cs="Arial"/>
        </w:rPr>
        <w:t xml:space="preserve">removing </w:t>
      </w:r>
      <w:r w:rsidR="00952AF4" w:rsidRPr="009E5CFB">
        <w:rPr>
          <w:rFonts w:ascii="Arial" w:hAnsi="Arial" w:cs="Arial"/>
        </w:rPr>
        <w:t xml:space="preserve">the </w:t>
      </w:r>
      <w:r w:rsidR="005715EC" w:rsidRPr="009E5CFB">
        <w:rPr>
          <w:rFonts w:ascii="Arial" w:hAnsi="Arial" w:cs="Arial"/>
        </w:rPr>
        <w:t xml:space="preserve">structural barriers that impede adoption at scale. </w:t>
      </w:r>
      <w:r w:rsidR="00952AF4" w:rsidRPr="009E5CFB">
        <w:rPr>
          <w:rFonts w:ascii="Arial" w:hAnsi="Arial" w:cs="Arial"/>
        </w:rPr>
        <w:t xml:space="preserve">The </w:t>
      </w:r>
      <w:r w:rsidR="00BE29F5" w:rsidRPr="009E5CFB">
        <w:rPr>
          <w:rFonts w:ascii="Arial" w:hAnsi="Arial" w:cs="Arial"/>
        </w:rPr>
        <w:t xml:space="preserve">emphasis </w:t>
      </w:r>
      <w:r w:rsidR="00952AF4" w:rsidRPr="009E5CFB">
        <w:rPr>
          <w:rFonts w:ascii="Arial" w:hAnsi="Arial" w:cs="Arial"/>
        </w:rPr>
        <w:t xml:space="preserve">has shifted from the product to the customer. Research is no longer just about ‘getting the product right’ but about </w:t>
      </w:r>
      <w:r w:rsidR="006F27CB" w:rsidRPr="009E5CFB">
        <w:rPr>
          <w:rFonts w:ascii="Arial" w:hAnsi="Arial" w:cs="Arial"/>
        </w:rPr>
        <w:t xml:space="preserve">‘getting the delivery right’. </w:t>
      </w:r>
      <w:r w:rsidR="005A6CA5" w:rsidRPr="009E5CFB">
        <w:rPr>
          <w:rFonts w:ascii="Arial" w:hAnsi="Arial" w:cs="Arial"/>
        </w:rPr>
        <w:t xml:space="preserve">Delivery </w:t>
      </w:r>
      <w:r w:rsidR="0095610E" w:rsidRPr="009E5CFB">
        <w:rPr>
          <w:rFonts w:ascii="Arial" w:hAnsi="Arial" w:cs="Arial"/>
        </w:rPr>
        <w:t>embraces</w:t>
      </w:r>
      <w:r w:rsidR="0067127F" w:rsidRPr="009E5CFB">
        <w:rPr>
          <w:rFonts w:ascii="Arial" w:hAnsi="Arial" w:cs="Arial"/>
        </w:rPr>
        <w:t xml:space="preserve"> </w:t>
      </w:r>
      <w:r w:rsidR="0095610E" w:rsidRPr="009E5CFB">
        <w:rPr>
          <w:rFonts w:ascii="Arial" w:hAnsi="Arial" w:cs="Arial"/>
        </w:rPr>
        <w:t xml:space="preserve">everything </w:t>
      </w:r>
      <w:r w:rsidR="0067127F" w:rsidRPr="009E5CFB">
        <w:rPr>
          <w:rFonts w:ascii="Arial" w:hAnsi="Arial" w:cs="Arial"/>
        </w:rPr>
        <w:t xml:space="preserve">that is critical for this process, </w:t>
      </w:r>
      <w:r w:rsidR="00C9611F" w:rsidRPr="009E5CFB">
        <w:rPr>
          <w:rFonts w:ascii="Arial" w:hAnsi="Arial" w:cs="Arial"/>
        </w:rPr>
        <w:t xml:space="preserve">including </w:t>
      </w:r>
      <w:r w:rsidR="0067127F" w:rsidRPr="009E5CFB">
        <w:rPr>
          <w:rFonts w:ascii="Arial" w:hAnsi="Arial" w:cs="Arial"/>
        </w:rPr>
        <w:t>institutions and policies</w:t>
      </w:r>
      <w:r w:rsidR="0095610E" w:rsidRPr="009E5CFB">
        <w:rPr>
          <w:rFonts w:ascii="Arial" w:hAnsi="Arial" w:cs="Arial"/>
        </w:rPr>
        <w:t>. T</w:t>
      </w:r>
      <w:r w:rsidR="00672F2C" w:rsidRPr="009E5CFB">
        <w:rPr>
          <w:rFonts w:ascii="Arial" w:hAnsi="Arial" w:cs="Arial"/>
        </w:rPr>
        <w:t>hus, t</w:t>
      </w:r>
      <w:r w:rsidR="00BE29F5" w:rsidRPr="009E5CFB">
        <w:rPr>
          <w:rFonts w:ascii="Arial" w:hAnsi="Arial" w:cs="Arial"/>
        </w:rPr>
        <w:t xml:space="preserve">he </w:t>
      </w:r>
      <w:r w:rsidR="009C4551" w:rsidRPr="009E5CFB">
        <w:rPr>
          <w:rFonts w:ascii="Arial" w:hAnsi="Arial" w:cs="Arial"/>
        </w:rPr>
        <w:t xml:space="preserve">old </w:t>
      </w:r>
      <w:r w:rsidR="00672F2C" w:rsidRPr="009E5CFB">
        <w:rPr>
          <w:rFonts w:ascii="Arial" w:hAnsi="Arial" w:cs="Arial"/>
        </w:rPr>
        <w:t xml:space="preserve">and </w:t>
      </w:r>
      <w:r w:rsidR="00102999" w:rsidRPr="009E5CFB">
        <w:rPr>
          <w:rFonts w:ascii="Arial" w:hAnsi="Arial" w:cs="Arial"/>
        </w:rPr>
        <w:t>widely</w:t>
      </w:r>
      <w:r w:rsidR="006D6B3D" w:rsidRPr="009E5CFB">
        <w:rPr>
          <w:rFonts w:ascii="Arial" w:hAnsi="Arial" w:cs="Arial"/>
        </w:rPr>
        <w:t xml:space="preserve"> </w:t>
      </w:r>
      <w:r w:rsidR="00102999" w:rsidRPr="009E5CFB">
        <w:rPr>
          <w:rFonts w:ascii="Arial" w:hAnsi="Arial" w:cs="Arial"/>
        </w:rPr>
        <w:t>-</w:t>
      </w:r>
      <w:r w:rsidR="006D6B3D" w:rsidRPr="009E5CFB">
        <w:rPr>
          <w:rFonts w:ascii="Arial" w:hAnsi="Arial" w:cs="Arial"/>
        </w:rPr>
        <w:t xml:space="preserve"> </w:t>
      </w:r>
      <w:r w:rsidR="00102999" w:rsidRPr="009E5CFB">
        <w:rPr>
          <w:rFonts w:ascii="Arial" w:hAnsi="Arial" w:cs="Arial"/>
        </w:rPr>
        <w:t xml:space="preserve">debated </w:t>
      </w:r>
      <w:r w:rsidR="00BE29F5" w:rsidRPr="009E5CFB">
        <w:rPr>
          <w:rFonts w:ascii="Arial" w:hAnsi="Arial" w:cs="Arial"/>
        </w:rPr>
        <w:t>problem of low adoption</w:t>
      </w:r>
      <w:r w:rsidR="009C4551" w:rsidRPr="009E5CFB">
        <w:rPr>
          <w:rFonts w:ascii="Arial" w:hAnsi="Arial" w:cs="Arial"/>
        </w:rPr>
        <w:t xml:space="preserve"> </w:t>
      </w:r>
      <w:r w:rsidR="00672F2C" w:rsidRPr="009E5CFB">
        <w:rPr>
          <w:rFonts w:ascii="Arial" w:hAnsi="Arial" w:cs="Arial"/>
        </w:rPr>
        <w:t>is now framed as a problem of social marketing</w:t>
      </w:r>
      <w:r w:rsidR="00A04789" w:rsidRPr="009E5CFB">
        <w:rPr>
          <w:rFonts w:ascii="Arial" w:hAnsi="Arial" w:cs="Arial"/>
        </w:rPr>
        <w:t xml:space="preserve">, where </w:t>
      </w:r>
      <w:r w:rsidR="006D6B3D" w:rsidRPr="009E5CFB">
        <w:rPr>
          <w:rFonts w:ascii="Arial" w:hAnsi="Arial" w:cs="Arial"/>
        </w:rPr>
        <w:t xml:space="preserve">adoption at scale is the result </w:t>
      </w:r>
      <w:r w:rsidR="006F27CB" w:rsidRPr="009E5CFB">
        <w:rPr>
          <w:rFonts w:ascii="Arial" w:hAnsi="Arial" w:cs="Arial"/>
        </w:rPr>
        <w:t xml:space="preserve">getting the right product to the right customer. </w:t>
      </w:r>
      <w:r w:rsidR="00493B3D" w:rsidRPr="009E5CFB">
        <w:rPr>
          <w:rFonts w:ascii="Arial" w:hAnsi="Arial" w:cs="Arial"/>
        </w:rPr>
        <w:t>The rise of ‘</w:t>
      </w:r>
      <w:proofErr w:type="spellStart"/>
      <w:r w:rsidR="00493B3D" w:rsidRPr="009E5CFB">
        <w:rPr>
          <w:rFonts w:ascii="Arial" w:hAnsi="Arial" w:cs="Arial"/>
        </w:rPr>
        <w:t>philanthro</w:t>
      </w:r>
      <w:proofErr w:type="spellEnd"/>
      <w:r w:rsidR="00C9611F" w:rsidRPr="009E5CFB">
        <w:rPr>
          <w:rFonts w:ascii="Arial" w:hAnsi="Arial" w:cs="Arial"/>
        </w:rPr>
        <w:t>-</w:t>
      </w:r>
      <w:r w:rsidR="00493B3D" w:rsidRPr="009E5CFB">
        <w:rPr>
          <w:rFonts w:ascii="Arial" w:hAnsi="Arial" w:cs="Arial"/>
        </w:rPr>
        <w:t xml:space="preserve">capitalism’ </w:t>
      </w:r>
      <w:r w:rsidR="002F7745" w:rsidRPr="009E5CFB">
        <w:rPr>
          <w:rFonts w:ascii="Arial" w:hAnsi="Arial" w:cs="Arial"/>
        </w:rPr>
        <w:t>(</w:t>
      </w:r>
      <w:r w:rsidR="00C9611F" w:rsidRPr="009E5CFB">
        <w:rPr>
          <w:rFonts w:ascii="Arial" w:hAnsi="Arial" w:cs="Arial"/>
        </w:rPr>
        <w:t>Brooks, 2013</w:t>
      </w:r>
      <w:r w:rsidR="002F7745" w:rsidRPr="009E5CFB">
        <w:rPr>
          <w:rFonts w:ascii="Arial" w:hAnsi="Arial" w:cs="Arial"/>
        </w:rPr>
        <w:t xml:space="preserve">) </w:t>
      </w:r>
      <w:r w:rsidR="00493B3D" w:rsidRPr="009E5CFB">
        <w:rPr>
          <w:rFonts w:ascii="Arial" w:hAnsi="Arial" w:cs="Arial"/>
        </w:rPr>
        <w:t xml:space="preserve">or </w:t>
      </w:r>
      <w:r w:rsidR="00C9611F" w:rsidRPr="009E5CFB">
        <w:rPr>
          <w:rFonts w:ascii="Arial" w:hAnsi="Arial" w:cs="Arial"/>
        </w:rPr>
        <w:t xml:space="preserve">of </w:t>
      </w:r>
      <w:r w:rsidR="00493B3D" w:rsidRPr="009E5CFB">
        <w:rPr>
          <w:rFonts w:ascii="Arial" w:hAnsi="Arial" w:cs="Arial"/>
        </w:rPr>
        <w:t xml:space="preserve">new donors with a background in </w:t>
      </w:r>
      <w:r w:rsidR="0095610E" w:rsidRPr="009E5CFB">
        <w:rPr>
          <w:rFonts w:ascii="Arial" w:hAnsi="Arial" w:cs="Arial"/>
        </w:rPr>
        <w:t>the private sector</w:t>
      </w:r>
      <w:r w:rsidR="00493B3D" w:rsidRPr="009E5CFB">
        <w:rPr>
          <w:rFonts w:ascii="Arial" w:hAnsi="Arial" w:cs="Arial"/>
        </w:rPr>
        <w:t xml:space="preserve"> has been </w:t>
      </w:r>
      <w:r w:rsidR="004A6A5B">
        <w:rPr>
          <w:rFonts w:ascii="Arial" w:hAnsi="Arial" w:cs="Arial"/>
        </w:rPr>
        <w:t xml:space="preserve">influential </w:t>
      </w:r>
      <w:r w:rsidR="00493B3D" w:rsidRPr="009E5CFB">
        <w:rPr>
          <w:rFonts w:ascii="Arial" w:hAnsi="Arial" w:cs="Arial"/>
        </w:rPr>
        <w:t>here</w:t>
      </w:r>
      <w:r w:rsidR="002F7745" w:rsidRPr="009E5CFB">
        <w:rPr>
          <w:rFonts w:ascii="Arial" w:hAnsi="Arial" w:cs="Arial"/>
        </w:rPr>
        <w:t xml:space="preserve">, </w:t>
      </w:r>
      <w:r w:rsidR="00165223">
        <w:rPr>
          <w:rFonts w:ascii="Arial" w:hAnsi="Arial" w:cs="Arial"/>
        </w:rPr>
        <w:t xml:space="preserve">bringing </w:t>
      </w:r>
      <w:r w:rsidR="009457F9" w:rsidRPr="009E5CFB">
        <w:rPr>
          <w:rFonts w:ascii="Arial" w:hAnsi="Arial" w:cs="Arial"/>
        </w:rPr>
        <w:t>not just funding but exper</w:t>
      </w:r>
      <w:r w:rsidR="00E05688" w:rsidRPr="009E5CFB">
        <w:rPr>
          <w:rFonts w:ascii="Arial" w:hAnsi="Arial" w:cs="Arial"/>
        </w:rPr>
        <w:t>tise</w:t>
      </w:r>
      <w:r w:rsidR="009457F9" w:rsidRPr="009E5CFB">
        <w:rPr>
          <w:rFonts w:ascii="Arial" w:hAnsi="Arial" w:cs="Arial"/>
        </w:rPr>
        <w:t xml:space="preserve"> </w:t>
      </w:r>
      <w:r w:rsidR="0095610E" w:rsidRPr="009E5CFB">
        <w:rPr>
          <w:rFonts w:ascii="Arial" w:hAnsi="Arial" w:cs="Arial"/>
        </w:rPr>
        <w:t xml:space="preserve">in commercial R &amp; D </w:t>
      </w:r>
      <w:r w:rsidR="009457F9" w:rsidRPr="009E5CFB">
        <w:rPr>
          <w:rFonts w:ascii="Arial" w:hAnsi="Arial" w:cs="Arial"/>
        </w:rPr>
        <w:t>where th</w:t>
      </w:r>
      <w:r w:rsidR="0067127F" w:rsidRPr="009E5CFB">
        <w:rPr>
          <w:rFonts w:ascii="Arial" w:hAnsi="Arial" w:cs="Arial"/>
        </w:rPr>
        <w:t xml:space="preserve">e </w:t>
      </w:r>
      <w:r w:rsidR="00F96B68" w:rsidRPr="009E5CFB">
        <w:rPr>
          <w:rFonts w:ascii="Arial" w:hAnsi="Arial" w:cs="Arial"/>
        </w:rPr>
        <w:t>‘</w:t>
      </w:r>
      <w:r w:rsidR="00AE107A" w:rsidRPr="009E5CFB">
        <w:rPr>
          <w:rFonts w:ascii="Arial" w:hAnsi="Arial" w:cs="Arial"/>
        </w:rPr>
        <w:t>s</w:t>
      </w:r>
      <w:r w:rsidR="00BC7A21" w:rsidRPr="009E5CFB">
        <w:rPr>
          <w:rFonts w:ascii="Arial" w:hAnsi="Arial" w:cs="Arial"/>
        </w:rPr>
        <w:t>caling</w:t>
      </w:r>
      <w:r w:rsidR="00F96B68" w:rsidRPr="009E5CFB">
        <w:rPr>
          <w:rFonts w:ascii="Arial" w:hAnsi="Arial" w:cs="Arial"/>
        </w:rPr>
        <w:t>’</w:t>
      </w:r>
      <w:r w:rsidR="00BC7A21" w:rsidRPr="009E5CFB">
        <w:rPr>
          <w:rFonts w:ascii="Arial" w:hAnsi="Arial" w:cs="Arial"/>
        </w:rPr>
        <w:t xml:space="preserve"> </w:t>
      </w:r>
      <w:r w:rsidR="0067127F" w:rsidRPr="009E5CFB">
        <w:rPr>
          <w:rFonts w:ascii="Arial" w:hAnsi="Arial" w:cs="Arial"/>
        </w:rPr>
        <w:t xml:space="preserve">of innovation </w:t>
      </w:r>
      <w:r w:rsidR="009457F9" w:rsidRPr="009E5CFB">
        <w:rPr>
          <w:rFonts w:ascii="Arial" w:hAnsi="Arial" w:cs="Arial"/>
        </w:rPr>
        <w:t>is a</w:t>
      </w:r>
      <w:r w:rsidR="00BC7A21" w:rsidRPr="009E5CFB">
        <w:rPr>
          <w:rFonts w:ascii="Arial" w:hAnsi="Arial" w:cs="Arial"/>
        </w:rPr>
        <w:t>n integral part of the research process.</w:t>
      </w:r>
      <w:r w:rsidR="006E4AB9">
        <w:rPr>
          <w:rFonts w:ascii="Arial" w:hAnsi="Arial" w:cs="Arial"/>
        </w:rPr>
        <w:t xml:space="preserve"> </w:t>
      </w:r>
      <w:r w:rsidR="004519CF">
        <w:rPr>
          <w:rFonts w:ascii="Arial" w:hAnsi="Arial" w:cs="Arial"/>
        </w:rPr>
        <w:t>At long last, ha</w:t>
      </w:r>
      <w:r w:rsidR="00874D19">
        <w:rPr>
          <w:rFonts w:ascii="Arial" w:hAnsi="Arial" w:cs="Arial"/>
        </w:rPr>
        <w:t xml:space="preserve">s ‘the science of delivery’ </w:t>
      </w:r>
      <w:r w:rsidR="004519CF">
        <w:rPr>
          <w:rFonts w:ascii="Arial" w:hAnsi="Arial" w:cs="Arial"/>
        </w:rPr>
        <w:t xml:space="preserve">found the key to </w:t>
      </w:r>
      <w:r w:rsidR="006E4AB9">
        <w:rPr>
          <w:rFonts w:ascii="Arial" w:hAnsi="Arial" w:cs="Arial"/>
        </w:rPr>
        <w:t>Africa’s elusive Green Revolution</w:t>
      </w:r>
      <w:r w:rsidR="004519CF">
        <w:rPr>
          <w:rFonts w:ascii="Arial" w:hAnsi="Arial" w:cs="Arial"/>
        </w:rPr>
        <w:t>?</w:t>
      </w:r>
      <w:r w:rsidR="006E4AB9">
        <w:rPr>
          <w:rFonts w:ascii="Arial" w:hAnsi="Arial" w:cs="Arial"/>
        </w:rPr>
        <w:t xml:space="preserve"> </w:t>
      </w:r>
    </w:p>
    <w:p w14:paraId="3D083326" w14:textId="77777777" w:rsidR="00672F2C" w:rsidRPr="009E5CFB" w:rsidRDefault="00672F2C" w:rsidP="006841E7">
      <w:pPr>
        <w:pStyle w:val="Footer"/>
        <w:jc w:val="both"/>
        <w:rPr>
          <w:rFonts w:ascii="Arial" w:hAnsi="Arial" w:cs="Arial"/>
        </w:rPr>
      </w:pPr>
    </w:p>
    <w:p w14:paraId="0E38EF18" w14:textId="0DB581E0" w:rsidR="001E35A2" w:rsidRDefault="001E35A2" w:rsidP="001E35A2">
      <w:pPr>
        <w:spacing w:after="0" w:line="240" w:lineRule="auto"/>
        <w:jc w:val="both"/>
        <w:rPr>
          <w:rFonts w:ascii="Arial" w:hAnsi="Arial" w:cs="Arial"/>
        </w:rPr>
      </w:pPr>
      <w:r w:rsidRPr="009E5CFB">
        <w:rPr>
          <w:rFonts w:ascii="Arial" w:hAnsi="Arial" w:cs="Arial"/>
        </w:rPr>
        <w:t xml:space="preserve">While there is no universally agreed definition of scaling, </w:t>
      </w:r>
      <w:r w:rsidR="009D081B">
        <w:rPr>
          <w:rFonts w:ascii="Arial" w:hAnsi="Arial" w:cs="Arial"/>
        </w:rPr>
        <w:t>the definition proposed by the International Institute of R</w:t>
      </w:r>
      <w:r w:rsidR="00874D19">
        <w:rPr>
          <w:rFonts w:ascii="Arial" w:hAnsi="Arial" w:cs="Arial"/>
        </w:rPr>
        <w:t xml:space="preserve">ural Reconstruction </w:t>
      </w:r>
      <w:r w:rsidR="009D081B">
        <w:rPr>
          <w:rFonts w:ascii="Arial" w:hAnsi="Arial" w:cs="Arial"/>
        </w:rPr>
        <w:t xml:space="preserve">is widely cited: </w:t>
      </w:r>
      <w:r w:rsidRPr="009E5CFB">
        <w:rPr>
          <w:rFonts w:ascii="Arial" w:hAnsi="Arial" w:cs="Arial"/>
        </w:rPr>
        <w:t xml:space="preserve">“Scaling up brings more quality beneﬁts to more people over a wider geographical area, more quickly, more equitably, and more lastingly.” </w:t>
      </w:r>
      <w:r w:rsidR="009D081B">
        <w:rPr>
          <w:rFonts w:ascii="Arial" w:hAnsi="Arial" w:cs="Arial"/>
        </w:rPr>
        <w:t xml:space="preserve">(IIRR, </w:t>
      </w:r>
      <w:r w:rsidR="00874D19">
        <w:rPr>
          <w:rFonts w:ascii="Arial" w:hAnsi="Arial" w:cs="Arial"/>
        </w:rPr>
        <w:t>2000</w:t>
      </w:r>
      <w:r w:rsidR="009D081B">
        <w:rPr>
          <w:rFonts w:ascii="Arial" w:hAnsi="Arial" w:cs="Arial"/>
        </w:rPr>
        <w:t>). T</w:t>
      </w:r>
      <w:r w:rsidRPr="009E5CFB">
        <w:rPr>
          <w:rFonts w:ascii="Arial" w:hAnsi="Arial" w:cs="Arial"/>
        </w:rPr>
        <w:t xml:space="preserve">wo pathways </w:t>
      </w:r>
      <w:r w:rsidR="009D081B">
        <w:rPr>
          <w:rFonts w:ascii="Arial" w:hAnsi="Arial" w:cs="Arial"/>
        </w:rPr>
        <w:t xml:space="preserve">for scaling </w:t>
      </w:r>
      <w:r w:rsidR="00BF6AF1">
        <w:rPr>
          <w:rFonts w:ascii="Arial" w:hAnsi="Arial" w:cs="Arial"/>
        </w:rPr>
        <w:t xml:space="preserve">agricultural innovations </w:t>
      </w:r>
      <w:r w:rsidR="009D081B">
        <w:rPr>
          <w:rFonts w:ascii="Arial" w:hAnsi="Arial" w:cs="Arial"/>
        </w:rPr>
        <w:t>have been identified (</w:t>
      </w:r>
      <w:proofErr w:type="spellStart"/>
      <w:r w:rsidR="009D081B">
        <w:rPr>
          <w:rFonts w:ascii="Arial" w:hAnsi="Arial" w:cs="Arial"/>
        </w:rPr>
        <w:t>Gundel</w:t>
      </w:r>
      <w:proofErr w:type="spellEnd"/>
      <w:r w:rsidR="009D081B">
        <w:rPr>
          <w:rFonts w:ascii="Arial" w:hAnsi="Arial" w:cs="Arial"/>
        </w:rPr>
        <w:t xml:space="preserve"> et. al., 2001): </w:t>
      </w:r>
    </w:p>
    <w:p w14:paraId="1B9A84E3" w14:textId="77777777" w:rsidR="00F15649" w:rsidRPr="009E5CFB" w:rsidRDefault="00F15649" w:rsidP="001E35A2">
      <w:pPr>
        <w:spacing w:after="0" w:line="240" w:lineRule="auto"/>
        <w:jc w:val="both"/>
        <w:rPr>
          <w:rFonts w:ascii="Arial" w:hAnsi="Arial" w:cs="Arial"/>
        </w:rPr>
      </w:pPr>
    </w:p>
    <w:p w14:paraId="39391C93" w14:textId="50BF43B9" w:rsidR="001E35A2" w:rsidRPr="009E5CFB" w:rsidRDefault="009D081B" w:rsidP="001E35A2">
      <w:pPr>
        <w:pStyle w:val="ListParagraph"/>
        <w:numPr>
          <w:ilvl w:val="0"/>
          <w:numId w:val="3"/>
        </w:numPr>
        <w:spacing w:after="0" w:line="240" w:lineRule="auto"/>
        <w:jc w:val="both"/>
        <w:rPr>
          <w:rFonts w:ascii="Arial" w:hAnsi="Arial" w:cs="Arial"/>
        </w:rPr>
      </w:pPr>
      <w:r>
        <w:rPr>
          <w:rFonts w:ascii="Arial" w:hAnsi="Arial" w:cs="Arial"/>
        </w:rPr>
        <w:t xml:space="preserve">Scaling-out, or horizontal scaling, by </w:t>
      </w:r>
      <w:r w:rsidR="001E35A2" w:rsidRPr="009E5CFB">
        <w:rPr>
          <w:rFonts w:ascii="Arial" w:hAnsi="Arial" w:cs="Arial"/>
        </w:rPr>
        <w:t>expanding the numbers (and diversity) of people sustainably benefiting from (and/or area covered by) an innovation, policy, or program</w:t>
      </w:r>
      <w:r>
        <w:rPr>
          <w:rFonts w:ascii="Arial" w:hAnsi="Arial" w:cs="Arial"/>
        </w:rPr>
        <w:t xml:space="preserve">; and </w:t>
      </w:r>
      <w:r w:rsidR="001E35A2" w:rsidRPr="009E5CFB">
        <w:rPr>
          <w:rFonts w:ascii="Arial" w:hAnsi="Arial" w:cs="Arial"/>
        </w:rPr>
        <w:t xml:space="preserve"> </w:t>
      </w:r>
    </w:p>
    <w:p w14:paraId="5F09F75C" w14:textId="68B0F45F" w:rsidR="001E35A2" w:rsidRPr="009E5CFB" w:rsidRDefault="009D081B" w:rsidP="001E35A2">
      <w:pPr>
        <w:pStyle w:val="ListParagraph"/>
        <w:numPr>
          <w:ilvl w:val="0"/>
          <w:numId w:val="3"/>
        </w:numPr>
        <w:spacing w:after="0" w:line="240" w:lineRule="auto"/>
        <w:jc w:val="both"/>
        <w:rPr>
          <w:rFonts w:ascii="Arial" w:hAnsi="Arial" w:cs="Arial"/>
        </w:rPr>
      </w:pPr>
      <w:r>
        <w:rPr>
          <w:rFonts w:ascii="Arial" w:hAnsi="Arial" w:cs="Arial"/>
        </w:rPr>
        <w:t xml:space="preserve">Scaling-up, or vertical </w:t>
      </w:r>
      <w:r w:rsidR="001E35A2" w:rsidRPr="009E5CFB">
        <w:rPr>
          <w:rFonts w:ascii="Arial" w:hAnsi="Arial" w:cs="Arial"/>
        </w:rPr>
        <w:t>scaling</w:t>
      </w:r>
      <w:r>
        <w:rPr>
          <w:rFonts w:ascii="Arial" w:hAnsi="Arial" w:cs="Arial"/>
        </w:rPr>
        <w:t xml:space="preserve">, by </w:t>
      </w:r>
      <w:r w:rsidR="001E35A2" w:rsidRPr="009E5CFB">
        <w:rPr>
          <w:rFonts w:ascii="Arial" w:hAnsi="Arial" w:cs="Arial"/>
        </w:rPr>
        <w:t>influencing</w:t>
      </w:r>
      <w:r>
        <w:rPr>
          <w:rFonts w:ascii="Arial" w:hAnsi="Arial" w:cs="Arial"/>
        </w:rPr>
        <w:t xml:space="preserve"> or str</w:t>
      </w:r>
      <w:r w:rsidR="001E35A2" w:rsidRPr="009E5CFB">
        <w:rPr>
          <w:rFonts w:ascii="Arial" w:hAnsi="Arial" w:cs="Arial"/>
        </w:rPr>
        <w:t>engthening policies, political processes, and/or institutions, with the aim of creating a more enabling environment for horizontal scaling</w:t>
      </w:r>
      <w:r>
        <w:rPr>
          <w:rFonts w:ascii="Arial" w:hAnsi="Arial" w:cs="Arial"/>
        </w:rPr>
        <w:t xml:space="preserve">. </w:t>
      </w:r>
      <w:r w:rsidR="001E35A2" w:rsidRPr="009E5CFB">
        <w:rPr>
          <w:rFonts w:ascii="Arial" w:hAnsi="Arial" w:cs="Arial"/>
        </w:rPr>
        <w:t xml:space="preserve"> </w:t>
      </w:r>
    </w:p>
    <w:p w14:paraId="1C637AF6" w14:textId="77777777" w:rsidR="001E35A2" w:rsidRPr="009E5CFB" w:rsidRDefault="001E35A2" w:rsidP="001E35A2">
      <w:pPr>
        <w:spacing w:after="0" w:line="240" w:lineRule="auto"/>
        <w:jc w:val="both"/>
        <w:rPr>
          <w:rFonts w:ascii="Arial" w:hAnsi="Arial" w:cs="Arial"/>
        </w:rPr>
      </w:pPr>
    </w:p>
    <w:p w14:paraId="5C0D5698" w14:textId="6B7BCEF3" w:rsidR="008221AC" w:rsidRDefault="009D081B" w:rsidP="006841E7">
      <w:pPr>
        <w:pStyle w:val="Footer"/>
        <w:jc w:val="both"/>
        <w:rPr>
          <w:rFonts w:ascii="Arial" w:hAnsi="Arial" w:cs="Arial"/>
        </w:rPr>
      </w:pPr>
      <w:r>
        <w:rPr>
          <w:rFonts w:ascii="Arial" w:hAnsi="Arial" w:cs="Arial"/>
        </w:rPr>
        <w:t xml:space="preserve">This definition of scaling </w:t>
      </w:r>
      <w:r w:rsidR="00F36FC7">
        <w:rPr>
          <w:rFonts w:ascii="Arial" w:hAnsi="Arial" w:cs="Arial"/>
        </w:rPr>
        <w:t xml:space="preserve">therefore </w:t>
      </w:r>
      <w:r>
        <w:rPr>
          <w:rFonts w:ascii="Arial" w:hAnsi="Arial" w:cs="Arial"/>
        </w:rPr>
        <w:t xml:space="preserve">takes a holistic </w:t>
      </w:r>
      <w:r w:rsidR="00F36FC7">
        <w:rPr>
          <w:rFonts w:ascii="Arial" w:hAnsi="Arial" w:cs="Arial"/>
        </w:rPr>
        <w:t xml:space="preserve">view of the problem of low adoption that embraces </w:t>
      </w:r>
      <w:r w:rsidR="008221AC">
        <w:rPr>
          <w:rFonts w:ascii="Arial" w:hAnsi="Arial" w:cs="Arial"/>
        </w:rPr>
        <w:t xml:space="preserve">constraints at </w:t>
      </w:r>
      <w:r w:rsidR="00F36FC7">
        <w:rPr>
          <w:rFonts w:ascii="Arial" w:hAnsi="Arial" w:cs="Arial"/>
        </w:rPr>
        <w:t xml:space="preserve">the </w:t>
      </w:r>
      <w:r w:rsidR="008221AC">
        <w:rPr>
          <w:rFonts w:ascii="Arial" w:hAnsi="Arial" w:cs="Arial"/>
        </w:rPr>
        <w:t>level of both the farm household and the wider enabling environment.</w:t>
      </w:r>
    </w:p>
    <w:p w14:paraId="0CE25156" w14:textId="77777777" w:rsidR="008221AC" w:rsidRDefault="008221AC" w:rsidP="006841E7">
      <w:pPr>
        <w:pStyle w:val="Footer"/>
        <w:jc w:val="both"/>
        <w:rPr>
          <w:rFonts w:ascii="Arial" w:hAnsi="Arial" w:cs="Arial"/>
        </w:rPr>
      </w:pPr>
    </w:p>
    <w:p w14:paraId="12A977AA" w14:textId="4E6EC76E" w:rsidR="002B60D7" w:rsidRPr="009E5CFB" w:rsidRDefault="009C4551" w:rsidP="002B60D7">
      <w:pPr>
        <w:pStyle w:val="Footer"/>
        <w:jc w:val="both"/>
        <w:rPr>
          <w:rFonts w:ascii="Arial" w:hAnsi="Arial" w:cs="Arial"/>
        </w:rPr>
      </w:pPr>
      <w:r w:rsidRPr="009E5CFB">
        <w:rPr>
          <w:rFonts w:ascii="Arial" w:hAnsi="Arial" w:cs="Arial"/>
        </w:rPr>
        <w:t>Th</w:t>
      </w:r>
      <w:r w:rsidR="00874D19">
        <w:rPr>
          <w:rFonts w:ascii="Arial" w:hAnsi="Arial" w:cs="Arial"/>
        </w:rPr>
        <w:t xml:space="preserve">is </w:t>
      </w:r>
      <w:r w:rsidRPr="009E5CFB">
        <w:rPr>
          <w:rFonts w:ascii="Arial" w:hAnsi="Arial" w:cs="Arial"/>
        </w:rPr>
        <w:t xml:space="preserve">framing </w:t>
      </w:r>
      <w:r w:rsidR="00016348" w:rsidRPr="009E5CFB">
        <w:rPr>
          <w:rFonts w:ascii="Arial" w:hAnsi="Arial" w:cs="Arial"/>
        </w:rPr>
        <w:t xml:space="preserve">of </w:t>
      </w:r>
      <w:r w:rsidR="008221AC">
        <w:rPr>
          <w:rFonts w:ascii="Arial" w:hAnsi="Arial" w:cs="Arial"/>
        </w:rPr>
        <w:t xml:space="preserve">low </w:t>
      </w:r>
      <w:r w:rsidR="00016348" w:rsidRPr="009E5CFB">
        <w:rPr>
          <w:rFonts w:ascii="Arial" w:hAnsi="Arial" w:cs="Arial"/>
        </w:rPr>
        <w:t xml:space="preserve">adoption </w:t>
      </w:r>
      <w:r w:rsidRPr="009E5CFB">
        <w:rPr>
          <w:rFonts w:ascii="Arial" w:hAnsi="Arial" w:cs="Arial"/>
        </w:rPr>
        <w:t xml:space="preserve">has </w:t>
      </w:r>
      <w:r w:rsidR="004E3118" w:rsidRPr="009E5CFB">
        <w:rPr>
          <w:rFonts w:ascii="Arial" w:hAnsi="Arial" w:cs="Arial"/>
        </w:rPr>
        <w:t xml:space="preserve">recently </w:t>
      </w:r>
      <w:r w:rsidRPr="009E5CFB">
        <w:rPr>
          <w:rFonts w:ascii="Arial" w:hAnsi="Arial" w:cs="Arial"/>
        </w:rPr>
        <w:t xml:space="preserve">been institutionalised </w:t>
      </w:r>
      <w:r w:rsidR="009D081B">
        <w:rPr>
          <w:rFonts w:ascii="Arial" w:hAnsi="Arial" w:cs="Arial"/>
        </w:rPr>
        <w:t xml:space="preserve">by </w:t>
      </w:r>
      <w:r w:rsidR="001E5C13" w:rsidRPr="009E5CFB">
        <w:rPr>
          <w:rFonts w:ascii="Arial" w:hAnsi="Arial" w:cs="Arial"/>
        </w:rPr>
        <w:t>the</w:t>
      </w:r>
      <w:r w:rsidR="009D081B">
        <w:rPr>
          <w:rFonts w:ascii="Arial" w:hAnsi="Arial" w:cs="Arial"/>
        </w:rPr>
        <w:t xml:space="preserve"> C</w:t>
      </w:r>
      <w:r w:rsidR="00F903DC">
        <w:rPr>
          <w:rFonts w:ascii="Arial" w:hAnsi="Arial" w:cs="Arial"/>
        </w:rPr>
        <w:t xml:space="preserve">onsortium for International Agricultural Research </w:t>
      </w:r>
      <w:r w:rsidR="00874D19">
        <w:rPr>
          <w:rFonts w:ascii="Arial" w:hAnsi="Arial" w:cs="Arial"/>
        </w:rPr>
        <w:t xml:space="preserve">– a consortium of 15 research institutes – </w:t>
      </w:r>
      <w:r w:rsidR="009D081B">
        <w:rPr>
          <w:rFonts w:ascii="Arial" w:hAnsi="Arial" w:cs="Arial"/>
        </w:rPr>
        <w:t xml:space="preserve">in its new </w:t>
      </w:r>
      <w:r w:rsidR="00F96B68" w:rsidRPr="009E5CFB">
        <w:rPr>
          <w:rFonts w:ascii="Arial" w:hAnsi="Arial" w:cs="Arial"/>
        </w:rPr>
        <w:t>research programs</w:t>
      </w:r>
      <w:r w:rsidR="00824AC6" w:rsidRPr="009E5CFB">
        <w:rPr>
          <w:rFonts w:ascii="Arial" w:hAnsi="Arial" w:cs="Arial"/>
        </w:rPr>
        <w:t xml:space="preserve">. </w:t>
      </w:r>
      <w:r w:rsidR="00874D19">
        <w:rPr>
          <w:rFonts w:ascii="Arial" w:hAnsi="Arial" w:cs="Arial"/>
        </w:rPr>
        <w:t>B</w:t>
      </w:r>
      <w:r w:rsidR="00824AC6" w:rsidRPr="009E5CFB">
        <w:rPr>
          <w:rFonts w:ascii="Arial" w:hAnsi="Arial" w:cs="Arial"/>
        </w:rPr>
        <w:t xml:space="preserve">etween 2012- 2017, seven CGIAR research programs were funded, of which six have now entered a second phase. These programs </w:t>
      </w:r>
      <w:r w:rsidR="00E05688" w:rsidRPr="009E5CFB">
        <w:rPr>
          <w:rFonts w:ascii="Arial" w:hAnsi="Arial" w:cs="Arial"/>
        </w:rPr>
        <w:t>align research outputs directly with strategic development goals like poverty reduction, improved health, and sustainability. The</w:t>
      </w:r>
      <w:r w:rsidR="008221AC">
        <w:rPr>
          <w:rFonts w:ascii="Arial" w:hAnsi="Arial" w:cs="Arial"/>
        </w:rPr>
        <w:t xml:space="preserve">se research programs are expected to deliver new technology to millions of smallholder households. </w:t>
      </w:r>
      <w:r w:rsidR="00897446" w:rsidRPr="009E5CFB">
        <w:rPr>
          <w:rFonts w:ascii="Arial" w:hAnsi="Arial" w:cs="Arial"/>
        </w:rPr>
        <w:t xml:space="preserve">To reach these </w:t>
      </w:r>
      <w:r w:rsidR="00DB5978" w:rsidRPr="009E5CFB">
        <w:rPr>
          <w:rFonts w:ascii="Arial" w:hAnsi="Arial" w:cs="Arial"/>
        </w:rPr>
        <w:t xml:space="preserve">ambitious </w:t>
      </w:r>
      <w:r w:rsidR="00897446" w:rsidRPr="009E5CFB">
        <w:rPr>
          <w:rFonts w:ascii="Arial" w:hAnsi="Arial" w:cs="Arial"/>
        </w:rPr>
        <w:t xml:space="preserve">targets, </w:t>
      </w:r>
      <w:r w:rsidR="001C75A3">
        <w:rPr>
          <w:rFonts w:ascii="Arial" w:hAnsi="Arial" w:cs="Arial"/>
        </w:rPr>
        <w:t xml:space="preserve">the </w:t>
      </w:r>
      <w:r w:rsidR="00897446" w:rsidRPr="009E5CFB">
        <w:rPr>
          <w:rFonts w:ascii="Arial" w:hAnsi="Arial" w:cs="Arial"/>
        </w:rPr>
        <w:t xml:space="preserve">programs </w:t>
      </w:r>
      <w:r w:rsidR="008C785E">
        <w:rPr>
          <w:rFonts w:ascii="Arial" w:hAnsi="Arial" w:cs="Arial"/>
        </w:rPr>
        <w:t xml:space="preserve">must rely on </w:t>
      </w:r>
      <w:r w:rsidR="00897446" w:rsidRPr="009E5CFB">
        <w:rPr>
          <w:rFonts w:ascii="Arial" w:hAnsi="Arial" w:cs="Arial"/>
        </w:rPr>
        <w:t xml:space="preserve">‘scaling’ projects. </w:t>
      </w:r>
      <w:r w:rsidR="00BC7A21" w:rsidRPr="009E5CFB">
        <w:rPr>
          <w:rFonts w:ascii="Arial" w:hAnsi="Arial" w:cs="Arial"/>
        </w:rPr>
        <w:t>Some projects are hybrids that combine both research and scaling components in a single project. Other</w:t>
      </w:r>
      <w:r w:rsidR="00AE107A" w:rsidRPr="009E5CFB">
        <w:rPr>
          <w:rFonts w:ascii="Arial" w:hAnsi="Arial" w:cs="Arial"/>
        </w:rPr>
        <w:t>s</w:t>
      </w:r>
      <w:r w:rsidR="00BC7A21" w:rsidRPr="009E5CFB">
        <w:rPr>
          <w:rFonts w:ascii="Arial" w:hAnsi="Arial" w:cs="Arial"/>
        </w:rPr>
        <w:t xml:space="preserve"> </w:t>
      </w:r>
      <w:r w:rsidR="00AE107A" w:rsidRPr="009E5CFB">
        <w:rPr>
          <w:rFonts w:ascii="Arial" w:hAnsi="Arial" w:cs="Arial"/>
        </w:rPr>
        <w:t xml:space="preserve">are </w:t>
      </w:r>
      <w:r w:rsidR="008C785E">
        <w:rPr>
          <w:rFonts w:ascii="Arial" w:hAnsi="Arial" w:cs="Arial"/>
        </w:rPr>
        <w:t xml:space="preserve">designed </w:t>
      </w:r>
      <w:r w:rsidR="00AE107A" w:rsidRPr="009E5CFB">
        <w:rPr>
          <w:rFonts w:ascii="Arial" w:hAnsi="Arial" w:cs="Arial"/>
        </w:rPr>
        <w:t xml:space="preserve">specifically </w:t>
      </w:r>
      <w:r w:rsidR="008C785E">
        <w:rPr>
          <w:rFonts w:ascii="Arial" w:hAnsi="Arial" w:cs="Arial"/>
        </w:rPr>
        <w:t xml:space="preserve">as scaling </w:t>
      </w:r>
      <w:r w:rsidR="00AE107A" w:rsidRPr="009E5CFB">
        <w:rPr>
          <w:rFonts w:ascii="Arial" w:hAnsi="Arial" w:cs="Arial"/>
        </w:rPr>
        <w:t>projects</w:t>
      </w:r>
      <w:r w:rsidR="008C785E">
        <w:rPr>
          <w:rFonts w:ascii="Arial" w:hAnsi="Arial" w:cs="Arial"/>
        </w:rPr>
        <w:t xml:space="preserve"> to deliver</w:t>
      </w:r>
      <w:r w:rsidR="00BC7A21" w:rsidRPr="009E5CFB">
        <w:rPr>
          <w:rFonts w:ascii="Arial" w:hAnsi="Arial" w:cs="Arial"/>
        </w:rPr>
        <w:t xml:space="preserve"> </w:t>
      </w:r>
      <w:r w:rsidR="008C785E">
        <w:rPr>
          <w:rFonts w:ascii="Arial" w:hAnsi="Arial" w:cs="Arial"/>
        </w:rPr>
        <w:t xml:space="preserve">new </w:t>
      </w:r>
      <w:r w:rsidR="00BC7A21" w:rsidRPr="009E5CFB">
        <w:rPr>
          <w:rFonts w:ascii="Arial" w:hAnsi="Arial" w:cs="Arial"/>
        </w:rPr>
        <w:t xml:space="preserve">technology developed </w:t>
      </w:r>
      <w:r w:rsidR="00AE107A" w:rsidRPr="009E5CFB">
        <w:rPr>
          <w:rFonts w:ascii="Arial" w:hAnsi="Arial" w:cs="Arial"/>
        </w:rPr>
        <w:t>by earlier ‘research’ projects.</w:t>
      </w:r>
      <w:r w:rsidR="000C48A0" w:rsidRPr="009E5CFB">
        <w:rPr>
          <w:rFonts w:ascii="Arial" w:hAnsi="Arial" w:cs="Arial"/>
        </w:rPr>
        <w:t xml:space="preserve"> The </w:t>
      </w:r>
      <w:r w:rsidR="008221AC">
        <w:rPr>
          <w:rFonts w:ascii="Arial" w:hAnsi="Arial" w:cs="Arial"/>
        </w:rPr>
        <w:t xml:space="preserve">design and performance </w:t>
      </w:r>
      <w:r w:rsidR="000C48A0" w:rsidRPr="009E5CFB">
        <w:rPr>
          <w:rFonts w:ascii="Arial" w:hAnsi="Arial" w:cs="Arial"/>
        </w:rPr>
        <w:t xml:space="preserve">of these projects </w:t>
      </w:r>
      <w:r w:rsidR="00824AC6" w:rsidRPr="009E5CFB">
        <w:rPr>
          <w:rFonts w:ascii="Arial" w:hAnsi="Arial" w:cs="Arial"/>
        </w:rPr>
        <w:t>m</w:t>
      </w:r>
      <w:r w:rsidR="002A4BBA" w:rsidRPr="009E5CFB">
        <w:rPr>
          <w:rFonts w:ascii="Arial" w:hAnsi="Arial" w:cs="Arial"/>
        </w:rPr>
        <w:t xml:space="preserve">ay offer insights into </w:t>
      </w:r>
      <w:r w:rsidR="00DB5978" w:rsidRPr="009E5CFB">
        <w:rPr>
          <w:rFonts w:ascii="Arial" w:hAnsi="Arial" w:cs="Arial"/>
        </w:rPr>
        <w:t xml:space="preserve">how </w:t>
      </w:r>
      <w:r w:rsidR="002B60D7">
        <w:rPr>
          <w:rFonts w:ascii="Arial" w:hAnsi="Arial" w:cs="Arial"/>
        </w:rPr>
        <w:t>t</w:t>
      </w:r>
      <w:r w:rsidR="00874D19">
        <w:rPr>
          <w:rFonts w:ascii="Arial" w:hAnsi="Arial" w:cs="Arial"/>
        </w:rPr>
        <w:t>o o</w:t>
      </w:r>
      <w:r w:rsidR="002B60D7" w:rsidRPr="009E5CFB">
        <w:rPr>
          <w:rFonts w:ascii="Arial" w:hAnsi="Arial" w:cs="Arial"/>
        </w:rPr>
        <w:t xml:space="preserve">vercome the </w:t>
      </w:r>
      <w:r w:rsidR="002B60D7">
        <w:rPr>
          <w:rFonts w:ascii="Arial" w:hAnsi="Arial" w:cs="Arial"/>
        </w:rPr>
        <w:t xml:space="preserve">legacy </w:t>
      </w:r>
      <w:r w:rsidR="002B60D7" w:rsidRPr="009E5CFB">
        <w:rPr>
          <w:rFonts w:ascii="Arial" w:hAnsi="Arial" w:cs="Arial"/>
        </w:rPr>
        <w:t>of low adoption</w:t>
      </w:r>
      <w:r w:rsidR="002B60D7">
        <w:rPr>
          <w:rFonts w:ascii="Arial" w:hAnsi="Arial" w:cs="Arial"/>
        </w:rPr>
        <w:t xml:space="preserve"> </w:t>
      </w:r>
      <w:r w:rsidR="00874D19">
        <w:rPr>
          <w:rFonts w:ascii="Arial" w:hAnsi="Arial" w:cs="Arial"/>
        </w:rPr>
        <w:t xml:space="preserve">and </w:t>
      </w:r>
      <w:r w:rsidR="002B60D7">
        <w:rPr>
          <w:rFonts w:ascii="Arial" w:hAnsi="Arial" w:cs="Arial"/>
        </w:rPr>
        <w:t>achieve adoption at scale</w:t>
      </w:r>
      <w:r w:rsidR="002B60D7" w:rsidRPr="009E5CFB">
        <w:rPr>
          <w:rFonts w:ascii="Arial" w:hAnsi="Arial" w:cs="Arial"/>
        </w:rPr>
        <w:t>.</w:t>
      </w:r>
    </w:p>
    <w:p w14:paraId="59ED7801" w14:textId="77777777" w:rsidR="004408AD" w:rsidRPr="009E5CFB" w:rsidRDefault="004408AD" w:rsidP="006841E7">
      <w:pPr>
        <w:pStyle w:val="Footer"/>
        <w:jc w:val="both"/>
        <w:rPr>
          <w:rFonts w:ascii="Arial" w:hAnsi="Arial" w:cs="Arial"/>
        </w:rPr>
      </w:pPr>
    </w:p>
    <w:p w14:paraId="28BF9492" w14:textId="526F35D1" w:rsidR="00F43590" w:rsidRDefault="00F43590" w:rsidP="00130C91">
      <w:pPr>
        <w:shd w:val="clear" w:color="auto" w:fill="FFFFFF"/>
        <w:jc w:val="both"/>
        <w:rPr>
          <w:rFonts w:ascii="Arial" w:hAnsi="Arial" w:cs="Arial"/>
        </w:rPr>
      </w:pPr>
      <w:r w:rsidRPr="009E5CFB">
        <w:rPr>
          <w:rFonts w:ascii="Arial" w:hAnsi="Arial" w:cs="Arial"/>
        </w:rPr>
        <w:t xml:space="preserve">The research program on Grain Legumes and Dryland Cereals (GLDC) </w:t>
      </w:r>
      <w:r w:rsidR="00165223">
        <w:rPr>
          <w:rFonts w:ascii="Arial" w:hAnsi="Arial" w:cs="Arial"/>
        </w:rPr>
        <w:t>focuses on the cereal crops sorghum (</w:t>
      </w:r>
      <w:r w:rsidR="00165223" w:rsidRPr="00165223">
        <w:rPr>
          <w:rFonts w:ascii="Arial" w:hAnsi="Arial" w:cs="Arial"/>
          <w:i/>
          <w:iCs/>
        </w:rPr>
        <w:t xml:space="preserve">Sorghum </w:t>
      </w:r>
      <w:proofErr w:type="spellStart"/>
      <w:r w:rsidR="00165223" w:rsidRPr="00165223">
        <w:rPr>
          <w:rFonts w:ascii="Arial" w:hAnsi="Arial" w:cs="Arial"/>
          <w:i/>
          <w:iCs/>
        </w:rPr>
        <w:t>bicolor</w:t>
      </w:r>
      <w:proofErr w:type="spellEnd"/>
      <w:r w:rsidR="00165223">
        <w:rPr>
          <w:rFonts w:ascii="Arial" w:hAnsi="Arial" w:cs="Arial"/>
        </w:rPr>
        <w:t xml:space="preserve">) and millets </w:t>
      </w:r>
      <w:r w:rsidR="00165223" w:rsidRPr="00165223">
        <w:rPr>
          <w:rFonts w:ascii="Arial" w:hAnsi="Arial" w:cs="Arial"/>
        </w:rPr>
        <w:t>(</w:t>
      </w:r>
      <w:proofErr w:type="spellStart"/>
      <w:r w:rsidR="00165223" w:rsidRPr="00165223">
        <w:rPr>
          <w:rFonts w:ascii="Arial" w:hAnsi="Arial" w:cs="Arial"/>
          <w:i/>
          <w:iCs/>
          <w:shd w:val="clear" w:color="auto" w:fill="FFFFFF"/>
        </w:rPr>
        <w:t>Pennisetum</w:t>
      </w:r>
      <w:proofErr w:type="spellEnd"/>
      <w:r w:rsidR="00165223" w:rsidRPr="00165223">
        <w:rPr>
          <w:rFonts w:ascii="Arial" w:hAnsi="Arial" w:cs="Arial"/>
          <w:i/>
          <w:iCs/>
          <w:shd w:val="clear" w:color="auto" w:fill="FFFFFF"/>
        </w:rPr>
        <w:t xml:space="preserve"> </w:t>
      </w:r>
      <w:proofErr w:type="spellStart"/>
      <w:r w:rsidR="00165223" w:rsidRPr="00165223">
        <w:rPr>
          <w:rFonts w:ascii="Arial" w:hAnsi="Arial" w:cs="Arial"/>
          <w:i/>
          <w:iCs/>
          <w:shd w:val="clear" w:color="auto" w:fill="FFFFFF"/>
        </w:rPr>
        <w:t>glaucum</w:t>
      </w:r>
      <w:proofErr w:type="spellEnd"/>
      <w:r w:rsidR="00165223" w:rsidRPr="00165223">
        <w:rPr>
          <w:rFonts w:ascii="Arial" w:hAnsi="Arial" w:cs="Arial"/>
          <w:shd w:val="clear" w:color="auto" w:fill="FFFFFF"/>
        </w:rPr>
        <w:t xml:space="preserve"> and </w:t>
      </w:r>
      <w:proofErr w:type="spellStart"/>
      <w:r w:rsidR="00165223" w:rsidRPr="00165223">
        <w:rPr>
          <w:rStyle w:val="st"/>
          <w:rFonts w:ascii="Arial" w:hAnsi="Arial" w:cs="Arial"/>
          <w:i/>
          <w:iCs/>
        </w:rPr>
        <w:t>Eleusine</w:t>
      </w:r>
      <w:proofErr w:type="spellEnd"/>
      <w:r w:rsidR="00165223" w:rsidRPr="00165223">
        <w:rPr>
          <w:rStyle w:val="st"/>
          <w:rFonts w:ascii="Arial" w:hAnsi="Arial" w:cs="Arial"/>
          <w:i/>
          <w:iCs/>
        </w:rPr>
        <w:t xml:space="preserve"> </w:t>
      </w:r>
      <w:proofErr w:type="spellStart"/>
      <w:r w:rsidR="00165223" w:rsidRPr="00165223">
        <w:rPr>
          <w:rStyle w:val="st"/>
          <w:rFonts w:ascii="Arial" w:hAnsi="Arial" w:cs="Arial"/>
          <w:i/>
          <w:iCs/>
        </w:rPr>
        <w:t>coracana</w:t>
      </w:r>
      <w:proofErr w:type="spellEnd"/>
      <w:r w:rsidR="00165223" w:rsidRPr="00165223">
        <w:rPr>
          <w:rStyle w:val="st"/>
          <w:rFonts w:ascii="Arial" w:hAnsi="Arial" w:cs="Arial"/>
        </w:rPr>
        <w:t>)</w:t>
      </w:r>
      <w:r w:rsidR="00165223">
        <w:rPr>
          <w:rStyle w:val="st"/>
          <w:rFonts w:ascii="Arial" w:hAnsi="Arial" w:cs="Arial"/>
          <w:color w:val="545454"/>
          <w:sz w:val="21"/>
          <w:szCs w:val="21"/>
        </w:rPr>
        <w:t xml:space="preserve"> </w:t>
      </w:r>
      <w:r w:rsidR="00165223">
        <w:rPr>
          <w:rFonts w:ascii="Arial" w:hAnsi="Arial" w:cs="Arial"/>
        </w:rPr>
        <w:t xml:space="preserve">, and </w:t>
      </w:r>
      <w:r w:rsidR="00165223" w:rsidRPr="00165223">
        <w:rPr>
          <w:rFonts w:ascii="Arial" w:hAnsi="Arial" w:cs="Arial"/>
        </w:rPr>
        <w:t>on six major grain legume crops – chickpea (</w:t>
      </w:r>
      <w:proofErr w:type="spellStart"/>
      <w:r w:rsidR="00165223" w:rsidRPr="00165223">
        <w:rPr>
          <w:rFonts w:ascii="Arial" w:hAnsi="Arial" w:cs="Arial"/>
          <w:i/>
          <w:iCs/>
        </w:rPr>
        <w:t>Cicer</w:t>
      </w:r>
      <w:proofErr w:type="spellEnd"/>
      <w:r w:rsidR="00165223" w:rsidRPr="00165223">
        <w:rPr>
          <w:rFonts w:ascii="Arial" w:hAnsi="Arial" w:cs="Arial"/>
          <w:i/>
          <w:iCs/>
        </w:rPr>
        <w:t xml:space="preserve"> arietinum</w:t>
      </w:r>
      <w:r w:rsidR="00165223" w:rsidRPr="00165223">
        <w:rPr>
          <w:rFonts w:ascii="Arial" w:hAnsi="Arial" w:cs="Arial"/>
        </w:rPr>
        <w:t>), common bean (</w:t>
      </w:r>
      <w:r w:rsidR="00165223" w:rsidRPr="00165223">
        <w:rPr>
          <w:rFonts w:ascii="Arial" w:hAnsi="Arial" w:cs="Arial"/>
          <w:i/>
          <w:iCs/>
        </w:rPr>
        <w:t>Phaseolus vulgaris</w:t>
      </w:r>
      <w:r w:rsidR="00165223" w:rsidRPr="00165223">
        <w:rPr>
          <w:rFonts w:ascii="Arial" w:hAnsi="Arial" w:cs="Arial"/>
        </w:rPr>
        <w:t>), cowpea (</w:t>
      </w:r>
      <w:r w:rsidR="00165223" w:rsidRPr="00165223">
        <w:rPr>
          <w:rFonts w:ascii="Arial" w:hAnsi="Arial" w:cs="Arial"/>
          <w:i/>
          <w:iCs/>
        </w:rPr>
        <w:t xml:space="preserve">Vigna </w:t>
      </w:r>
      <w:proofErr w:type="spellStart"/>
      <w:r w:rsidR="00165223" w:rsidRPr="00165223">
        <w:rPr>
          <w:rFonts w:ascii="Arial" w:hAnsi="Arial" w:cs="Arial"/>
          <w:i/>
          <w:iCs/>
        </w:rPr>
        <w:t>unguiculata</w:t>
      </w:r>
      <w:proofErr w:type="spellEnd"/>
      <w:r w:rsidR="00165223" w:rsidRPr="00165223">
        <w:rPr>
          <w:rFonts w:ascii="Arial" w:hAnsi="Arial" w:cs="Arial"/>
        </w:rPr>
        <w:t>), groundnut (</w:t>
      </w:r>
      <w:r w:rsidR="00165223" w:rsidRPr="00165223">
        <w:rPr>
          <w:rFonts w:ascii="Arial" w:hAnsi="Arial" w:cs="Arial"/>
          <w:i/>
          <w:iCs/>
        </w:rPr>
        <w:t xml:space="preserve">Arachis </w:t>
      </w:r>
      <w:proofErr w:type="spellStart"/>
      <w:r w:rsidR="00165223" w:rsidRPr="00165223">
        <w:rPr>
          <w:rFonts w:ascii="Arial" w:hAnsi="Arial" w:cs="Arial"/>
          <w:i/>
          <w:iCs/>
        </w:rPr>
        <w:t>hypogaea</w:t>
      </w:r>
      <w:proofErr w:type="spellEnd"/>
      <w:r w:rsidR="00165223" w:rsidRPr="00165223">
        <w:rPr>
          <w:rFonts w:ascii="Arial" w:hAnsi="Arial" w:cs="Arial"/>
        </w:rPr>
        <w:t xml:space="preserve">), </w:t>
      </w:r>
      <w:proofErr w:type="spellStart"/>
      <w:r w:rsidR="00165223" w:rsidRPr="00165223">
        <w:rPr>
          <w:rFonts w:ascii="Arial" w:hAnsi="Arial" w:cs="Arial"/>
        </w:rPr>
        <w:t>pigeonpea</w:t>
      </w:r>
      <w:proofErr w:type="spellEnd"/>
      <w:r w:rsidR="00165223" w:rsidRPr="00165223">
        <w:rPr>
          <w:rFonts w:ascii="Arial" w:hAnsi="Arial" w:cs="Arial"/>
        </w:rPr>
        <w:t xml:space="preserve"> (</w:t>
      </w:r>
      <w:proofErr w:type="spellStart"/>
      <w:r w:rsidR="00165223" w:rsidRPr="00165223">
        <w:rPr>
          <w:rFonts w:ascii="Arial" w:hAnsi="Arial" w:cs="Arial"/>
          <w:i/>
          <w:iCs/>
        </w:rPr>
        <w:t>Cajanus</w:t>
      </w:r>
      <w:proofErr w:type="spellEnd"/>
      <w:r w:rsidR="00165223" w:rsidRPr="00165223">
        <w:rPr>
          <w:rFonts w:ascii="Arial" w:hAnsi="Arial" w:cs="Arial"/>
          <w:i/>
          <w:iCs/>
        </w:rPr>
        <w:t xml:space="preserve"> </w:t>
      </w:r>
      <w:proofErr w:type="spellStart"/>
      <w:r w:rsidR="00165223" w:rsidRPr="00165223">
        <w:rPr>
          <w:rFonts w:ascii="Arial" w:hAnsi="Arial" w:cs="Arial"/>
          <w:i/>
          <w:iCs/>
        </w:rPr>
        <w:t>cajan</w:t>
      </w:r>
      <w:proofErr w:type="spellEnd"/>
      <w:r w:rsidR="00165223" w:rsidRPr="00165223">
        <w:rPr>
          <w:rFonts w:ascii="Arial" w:hAnsi="Arial" w:cs="Arial"/>
        </w:rPr>
        <w:t>) and soybean (</w:t>
      </w:r>
      <w:r w:rsidR="00165223" w:rsidRPr="00165223">
        <w:rPr>
          <w:rFonts w:ascii="Arial" w:hAnsi="Arial" w:cs="Arial"/>
          <w:i/>
          <w:iCs/>
        </w:rPr>
        <w:t>Glycine max</w:t>
      </w:r>
      <w:r w:rsidR="00165223" w:rsidRPr="00165223">
        <w:rPr>
          <w:rFonts w:ascii="Arial" w:hAnsi="Arial" w:cs="Arial"/>
        </w:rPr>
        <w:t>)</w:t>
      </w:r>
      <w:r w:rsidR="00165223">
        <w:rPr>
          <w:rFonts w:ascii="Arial" w:hAnsi="Arial" w:cs="Arial"/>
        </w:rPr>
        <w:t xml:space="preserve">. </w:t>
      </w:r>
      <w:r w:rsidR="005B4940" w:rsidRPr="00A60D9D">
        <w:rPr>
          <w:rFonts w:ascii="Arial" w:hAnsi="Arial" w:cs="Arial"/>
        </w:rPr>
        <w:t>(</w:t>
      </w:r>
      <w:r w:rsidR="00A60D9D" w:rsidRPr="00A60D9D">
        <w:rPr>
          <w:rFonts w:ascii="Arial" w:hAnsi="Arial" w:cs="Arial"/>
        </w:rPr>
        <w:t xml:space="preserve">GLDC, 2017). </w:t>
      </w:r>
      <w:r w:rsidR="00165223">
        <w:rPr>
          <w:rFonts w:ascii="Arial" w:hAnsi="Arial" w:cs="Arial"/>
        </w:rPr>
        <w:t xml:space="preserve">Scaling new technology for these crops faces </w:t>
      </w:r>
      <w:r>
        <w:rPr>
          <w:rFonts w:ascii="Arial" w:hAnsi="Arial" w:cs="Arial"/>
        </w:rPr>
        <w:t xml:space="preserve">a </w:t>
      </w:r>
      <w:r w:rsidRPr="009E5CFB">
        <w:rPr>
          <w:rFonts w:ascii="Arial" w:hAnsi="Arial" w:cs="Arial"/>
        </w:rPr>
        <w:t>specific set of challenges</w:t>
      </w:r>
      <w:r>
        <w:rPr>
          <w:rFonts w:ascii="Arial" w:hAnsi="Arial" w:cs="Arial"/>
        </w:rPr>
        <w:t>.</w:t>
      </w:r>
      <w:r w:rsidRPr="009E5CFB">
        <w:rPr>
          <w:rFonts w:ascii="Arial" w:hAnsi="Arial" w:cs="Arial"/>
        </w:rPr>
        <w:t xml:space="preserve"> One is on the supply side. Th</w:t>
      </w:r>
      <w:r w:rsidR="00165223">
        <w:rPr>
          <w:rFonts w:ascii="Arial" w:hAnsi="Arial" w:cs="Arial"/>
        </w:rPr>
        <w:t xml:space="preserve">ey are grown in the semi-arid environment, </w:t>
      </w:r>
      <w:r w:rsidR="00E926CC">
        <w:rPr>
          <w:rFonts w:ascii="Arial" w:hAnsi="Arial" w:cs="Arial"/>
        </w:rPr>
        <w:t xml:space="preserve">where thin populations and poor infrastructure make smallholders harder to reach. </w:t>
      </w:r>
      <w:r w:rsidRPr="009E5CFB">
        <w:rPr>
          <w:rFonts w:ascii="Arial" w:hAnsi="Arial" w:cs="Arial"/>
        </w:rPr>
        <w:t xml:space="preserve">Two challenges lie on the demand side. Many crops in this environment are open-pollinated and can therefore be recycled for several years without significant loss in yield, </w:t>
      </w:r>
      <w:r w:rsidRPr="009E5CFB">
        <w:rPr>
          <w:rFonts w:ascii="Arial" w:hAnsi="Arial" w:cs="Arial"/>
        </w:rPr>
        <w:lastRenderedPageBreak/>
        <w:t>which reduces demand for new seed. This limits the incentive for private seed companies to market the seed of improved varieties</w:t>
      </w:r>
      <w:r w:rsidR="00F24AAB">
        <w:rPr>
          <w:rFonts w:ascii="Arial" w:hAnsi="Arial" w:cs="Arial"/>
        </w:rPr>
        <w:t xml:space="preserve">. </w:t>
      </w:r>
      <w:r w:rsidRPr="009E5CFB">
        <w:rPr>
          <w:rFonts w:ascii="Arial" w:hAnsi="Arial" w:cs="Arial"/>
        </w:rPr>
        <w:t xml:space="preserve">Finally, commercialisation is limited. Smallholders may live far from markets, and the crops they sell may also be staple food crops </w:t>
      </w:r>
      <w:r w:rsidR="001C75A3">
        <w:rPr>
          <w:rFonts w:ascii="Arial" w:hAnsi="Arial" w:cs="Arial"/>
        </w:rPr>
        <w:t xml:space="preserve">that are needed for </w:t>
      </w:r>
      <w:r w:rsidRPr="009E5CFB">
        <w:rPr>
          <w:rFonts w:ascii="Arial" w:hAnsi="Arial" w:cs="Arial"/>
        </w:rPr>
        <w:t xml:space="preserve">household food security. </w:t>
      </w:r>
      <w:r w:rsidR="00E926CC">
        <w:rPr>
          <w:rFonts w:ascii="Arial" w:hAnsi="Arial" w:cs="Arial"/>
        </w:rPr>
        <w:t>M</w:t>
      </w:r>
      <w:r w:rsidRPr="009E5CFB">
        <w:rPr>
          <w:rFonts w:ascii="Arial" w:hAnsi="Arial" w:cs="Arial"/>
        </w:rPr>
        <w:t xml:space="preserve">arket prices may be low, reducing the demand for new technology. Urbanisation and higher incomes reduce consumer demand for sorghum and millets compared to maize. Alternative uses that </w:t>
      </w:r>
      <w:r w:rsidR="00130C91">
        <w:rPr>
          <w:rFonts w:ascii="Arial" w:hAnsi="Arial" w:cs="Arial"/>
        </w:rPr>
        <w:t xml:space="preserve">can </w:t>
      </w:r>
      <w:r w:rsidRPr="009E5CFB">
        <w:rPr>
          <w:rFonts w:ascii="Arial" w:hAnsi="Arial" w:cs="Arial"/>
        </w:rPr>
        <w:t xml:space="preserve">increase demand may be limited or problematic in other ways. In combination, these supply and demand-side </w:t>
      </w:r>
      <w:r w:rsidR="001C75A3">
        <w:rPr>
          <w:rFonts w:ascii="Arial" w:hAnsi="Arial" w:cs="Arial"/>
        </w:rPr>
        <w:t xml:space="preserve">constraints make </w:t>
      </w:r>
      <w:r w:rsidR="00130C91">
        <w:rPr>
          <w:rFonts w:ascii="Arial" w:hAnsi="Arial" w:cs="Arial"/>
        </w:rPr>
        <w:t xml:space="preserve">it particularly </w:t>
      </w:r>
      <w:r w:rsidR="001C75A3">
        <w:rPr>
          <w:rFonts w:ascii="Arial" w:hAnsi="Arial" w:cs="Arial"/>
        </w:rPr>
        <w:t xml:space="preserve">challenging </w:t>
      </w:r>
      <w:r w:rsidR="00130C91">
        <w:rPr>
          <w:rFonts w:ascii="Arial" w:hAnsi="Arial" w:cs="Arial"/>
        </w:rPr>
        <w:t xml:space="preserve">to </w:t>
      </w:r>
      <w:r w:rsidR="001C75A3">
        <w:rPr>
          <w:rFonts w:ascii="Arial" w:hAnsi="Arial" w:cs="Arial"/>
        </w:rPr>
        <w:t xml:space="preserve">achieve </w:t>
      </w:r>
      <w:r w:rsidRPr="009E5CFB">
        <w:rPr>
          <w:rFonts w:ascii="Arial" w:hAnsi="Arial" w:cs="Arial"/>
        </w:rPr>
        <w:t xml:space="preserve">adoption at scale.  </w:t>
      </w:r>
    </w:p>
    <w:p w14:paraId="52031334" w14:textId="7AA898DE" w:rsidR="004408AD" w:rsidRPr="009E5CFB" w:rsidRDefault="00602256" w:rsidP="006841E7">
      <w:pPr>
        <w:pStyle w:val="Footer"/>
        <w:jc w:val="both"/>
        <w:rPr>
          <w:rFonts w:ascii="Arial" w:hAnsi="Arial" w:cs="Arial"/>
        </w:rPr>
      </w:pPr>
      <w:r w:rsidRPr="009E5CFB">
        <w:rPr>
          <w:rFonts w:ascii="Arial" w:hAnsi="Arial" w:cs="Arial"/>
        </w:rPr>
        <w:t xml:space="preserve">The </w:t>
      </w:r>
      <w:r w:rsidR="00F43590">
        <w:rPr>
          <w:rFonts w:ascii="Arial" w:hAnsi="Arial" w:cs="Arial"/>
        </w:rPr>
        <w:t xml:space="preserve">GLDC program </w:t>
      </w:r>
      <w:r w:rsidRPr="009E5CFB">
        <w:rPr>
          <w:rFonts w:ascii="Arial" w:hAnsi="Arial" w:cs="Arial"/>
        </w:rPr>
        <w:t xml:space="preserve">has developed a conceptual framework for the scaling of </w:t>
      </w:r>
      <w:r w:rsidR="008D0BBF">
        <w:rPr>
          <w:rFonts w:ascii="Arial" w:hAnsi="Arial" w:cs="Arial"/>
        </w:rPr>
        <w:t>GLDC technologies</w:t>
      </w:r>
      <w:r w:rsidR="00F903DC">
        <w:rPr>
          <w:rFonts w:ascii="Arial" w:hAnsi="Arial" w:cs="Arial"/>
        </w:rPr>
        <w:t xml:space="preserve">. </w:t>
      </w:r>
      <w:r w:rsidRPr="009E5CFB">
        <w:rPr>
          <w:rFonts w:ascii="Arial" w:hAnsi="Arial" w:cs="Arial"/>
        </w:rPr>
        <w:t>T</w:t>
      </w:r>
      <w:r w:rsidR="00016348" w:rsidRPr="009E5CFB">
        <w:rPr>
          <w:rFonts w:ascii="Arial" w:hAnsi="Arial" w:cs="Arial"/>
        </w:rPr>
        <w:t xml:space="preserve">he general objective of this report is to </w:t>
      </w:r>
      <w:r w:rsidR="005D55B3">
        <w:rPr>
          <w:rFonts w:ascii="Arial" w:hAnsi="Arial" w:cs="Arial"/>
        </w:rPr>
        <w:t xml:space="preserve">assess the utility of this framework by applying it to four of the </w:t>
      </w:r>
      <w:r w:rsidRPr="009E5CFB">
        <w:rPr>
          <w:rFonts w:ascii="Arial" w:hAnsi="Arial" w:cs="Arial"/>
        </w:rPr>
        <w:t>GLDC program’s largest scaling project</w:t>
      </w:r>
      <w:r w:rsidR="005D55B3">
        <w:rPr>
          <w:rFonts w:ascii="Arial" w:hAnsi="Arial" w:cs="Arial"/>
        </w:rPr>
        <w:t xml:space="preserve">s. </w:t>
      </w:r>
      <w:r w:rsidR="004408AD" w:rsidRPr="009E5CFB">
        <w:rPr>
          <w:rFonts w:ascii="Arial" w:hAnsi="Arial" w:cs="Arial"/>
        </w:rPr>
        <w:t>The specific objectives are to:</w:t>
      </w:r>
    </w:p>
    <w:p w14:paraId="4C6F2F5D" w14:textId="6078E58A" w:rsidR="004408AD" w:rsidRPr="009E5CFB" w:rsidRDefault="004408AD" w:rsidP="006841E7">
      <w:pPr>
        <w:pStyle w:val="Footer"/>
        <w:jc w:val="both"/>
        <w:rPr>
          <w:rFonts w:ascii="Arial" w:hAnsi="Arial" w:cs="Arial"/>
        </w:rPr>
      </w:pPr>
    </w:p>
    <w:p w14:paraId="28DF8261" w14:textId="6A1DD021" w:rsidR="004408AD" w:rsidRPr="009E5CFB" w:rsidRDefault="004408AD" w:rsidP="004408AD">
      <w:pPr>
        <w:pStyle w:val="Footer"/>
        <w:numPr>
          <w:ilvl w:val="0"/>
          <w:numId w:val="1"/>
        </w:numPr>
        <w:jc w:val="both"/>
        <w:rPr>
          <w:rFonts w:ascii="Arial" w:hAnsi="Arial" w:cs="Arial"/>
        </w:rPr>
      </w:pPr>
      <w:r w:rsidRPr="009E5CFB">
        <w:rPr>
          <w:rFonts w:ascii="Arial" w:hAnsi="Arial" w:cs="Arial"/>
        </w:rPr>
        <w:t xml:space="preserve">Review the </w:t>
      </w:r>
      <w:r w:rsidR="005D55B3">
        <w:rPr>
          <w:rFonts w:ascii="Arial" w:hAnsi="Arial" w:cs="Arial"/>
        </w:rPr>
        <w:t xml:space="preserve">framework against the </w:t>
      </w:r>
      <w:r w:rsidRPr="009E5CFB">
        <w:rPr>
          <w:rFonts w:ascii="Arial" w:hAnsi="Arial" w:cs="Arial"/>
        </w:rPr>
        <w:t>design and implementation of these projects</w:t>
      </w:r>
      <w:r w:rsidR="005D55B3">
        <w:rPr>
          <w:rFonts w:ascii="Arial" w:hAnsi="Arial" w:cs="Arial"/>
        </w:rPr>
        <w:t>;</w:t>
      </w:r>
    </w:p>
    <w:p w14:paraId="2C715654" w14:textId="022550DF" w:rsidR="004408AD" w:rsidRPr="009E5CFB" w:rsidRDefault="005D55B3" w:rsidP="004408AD">
      <w:pPr>
        <w:pStyle w:val="Footer"/>
        <w:numPr>
          <w:ilvl w:val="0"/>
          <w:numId w:val="1"/>
        </w:numPr>
        <w:jc w:val="both"/>
        <w:rPr>
          <w:rFonts w:ascii="Arial" w:hAnsi="Arial" w:cs="Arial"/>
        </w:rPr>
      </w:pPr>
      <w:r>
        <w:rPr>
          <w:rFonts w:ascii="Arial" w:hAnsi="Arial" w:cs="Arial"/>
        </w:rPr>
        <w:t xml:space="preserve">Identify gaps in the scaling framework; and </w:t>
      </w:r>
    </w:p>
    <w:p w14:paraId="14BAB82C" w14:textId="70783596" w:rsidR="00CD046F" w:rsidRPr="009E5CFB" w:rsidRDefault="00FB6CF3" w:rsidP="004408AD">
      <w:pPr>
        <w:pStyle w:val="Footer"/>
        <w:numPr>
          <w:ilvl w:val="0"/>
          <w:numId w:val="1"/>
        </w:numPr>
        <w:jc w:val="both"/>
        <w:rPr>
          <w:rFonts w:ascii="Arial" w:hAnsi="Arial" w:cs="Arial"/>
        </w:rPr>
      </w:pPr>
      <w:r>
        <w:rPr>
          <w:rFonts w:ascii="Arial" w:hAnsi="Arial" w:cs="Arial"/>
        </w:rPr>
        <w:t xml:space="preserve">Recommend changes to </w:t>
      </w:r>
      <w:r w:rsidR="005D55B3">
        <w:rPr>
          <w:rFonts w:ascii="Arial" w:hAnsi="Arial" w:cs="Arial"/>
        </w:rPr>
        <w:t xml:space="preserve">the framework </w:t>
      </w:r>
      <w:r>
        <w:rPr>
          <w:rFonts w:ascii="Arial" w:hAnsi="Arial" w:cs="Arial"/>
        </w:rPr>
        <w:t xml:space="preserve">to improve the design of scaling projects and the effectiveness of scaling in the </w:t>
      </w:r>
      <w:r w:rsidR="00CD046F" w:rsidRPr="009E5CFB">
        <w:rPr>
          <w:rFonts w:ascii="Arial" w:hAnsi="Arial" w:cs="Arial"/>
        </w:rPr>
        <w:t>GLDC program.</w:t>
      </w:r>
    </w:p>
    <w:p w14:paraId="39363AB3" w14:textId="77777777" w:rsidR="00CD046F" w:rsidRPr="009E5CFB" w:rsidRDefault="00CD046F" w:rsidP="003E59EE">
      <w:pPr>
        <w:pStyle w:val="Footer"/>
        <w:jc w:val="both"/>
        <w:rPr>
          <w:rFonts w:ascii="Arial" w:hAnsi="Arial" w:cs="Arial"/>
        </w:rPr>
      </w:pPr>
    </w:p>
    <w:p w14:paraId="5FD77965" w14:textId="77777777" w:rsidR="00F24AAB" w:rsidRDefault="00FB6CF3" w:rsidP="00CD046F">
      <w:pPr>
        <w:pStyle w:val="Footer"/>
        <w:jc w:val="both"/>
        <w:rPr>
          <w:rFonts w:ascii="Arial" w:hAnsi="Arial" w:cs="Arial"/>
        </w:rPr>
      </w:pPr>
      <w:r>
        <w:rPr>
          <w:rFonts w:ascii="Arial" w:hAnsi="Arial" w:cs="Arial"/>
        </w:rPr>
        <w:t>T</w:t>
      </w:r>
      <w:r w:rsidR="00444072" w:rsidRPr="00A96AF2">
        <w:rPr>
          <w:rFonts w:ascii="Arial" w:hAnsi="Arial" w:cs="Arial"/>
        </w:rPr>
        <w:t xml:space="preserve">he </w:t>
      </w:r>
      <w:r>
        <w:rPr>
          <w:rFonts w:ascii="Arial" w:hAnsi="Arial" w:cs="Arial"/>
        </w:rPr>
        <w:t xml:space="preserve">primary </w:t>
      </w:r>
      <w:r w:rsidR="00444072" w:rsidRPr="00A96AF2">
        <w:rPr>
          <w:rFonts w:ascii="Arial" w:hAnsi="Arial" w:cs="Arial"/>
        </w:rPr>
        <w:t xml:space="preserve">focus of this </w:t>
      </w:r>
      <w:r w:rsidR="00EC0AE2" w:rsidRPr="00A96AF2">
        <w:rPr>
          <w:rFonts w:ascii="Arial" w:hAnsi="Arial" w:cs="Arial"/>
        </w:rPr>
        <w:t xml:space="preserve">report </w:t>
      </w:r>
      <w:r w:rsidR="00444072" w:rsidRPr="00A96AF2">
        <w:rPr>
          <w:rFonts w:ascii="Arial" w:hAnsi="Arial" w:cs="Arial"/>
        </w:rPr>
        <w:t xml:space="preserve">is </w:t>
      </w:r>
      <w:r w:rsidR="00EC0AE2" w:rsidRPr="00A96AF2">
        <w:rPr>
          <w:rFonts w:ascii="Arial" w:hAnsi="Arial" w:cs="Arial"/>
        </w:rPr>
        <w:t xml:space="preserve">not </w:t>
      </w:r>
      <w:r w:rsidR="00444072" w:rsidRPr="00A96AF2">
        <w:rPr>
          <w:rFonts w:ascii="Arial" w:hAnsi="Arial" w:cs="Arial"/>
        </w:rPr>
        <w:t xml:space="preserve">on the </w:t>
      </w:r>
      <w:r w:rsidR="00EC0AE2" w:rsidRPr="00A96AF2">
        <w:rPr>
          <w:rFonts w:ascii="Arial" w:hAnsi="Arial" w:cs="Arial"/>
        </w:rPr>
        <w:t xml:space="preserve">four </w:t>
      </w:r>
      <w:r w:rsidR="00444072" w:rsidRPr="00A96AF2">
        <w:rPr>
          <w:rFonts w:ascii="Arial" w:hAnsi="Arial" w:cs="Arial"/>
        </w:rPr>
        <w:t xml:space="preserve">projects </w:t>
      </w:r>
      <w:r>
        <w:rPr>
          <w:rFonts w:ascii="Arial" w:hAnsi="Arial" w:cs="Arial"/>
        </w:rPr>
        <w:t xml:space="preserve">or their success or failure in reaching the </w:t>
      </w:r>
      <w:r w:rsidR="00EC0AE2" w:rsidRPr="00A96AF2">
        <w:rPr>
          <w:rFonts w:ascii="Arial" w:hAnsi="Arial" w:cs="Arial"/>
        </w:rPr>
        <w:t xml:space="preserve">targets </w:t>
      </w:r>
      <w:r w:rsidR="00A96AF2">
        <w:rPr>
          <w:rFonts w:ascii="Arial" w:hAnsi="Arial" w:cs="Arial"/>
        </w:rPr>
        <w:t xml:space="preserve">that </w:t>
      </w:r>
      <w:r w:rsidR="00EC0AE2" w:rsidRPr="00A96AF2">
        <w:rPr>
          <w:rFonts w:ascii="Arial" w:hAnsi="Arial" w:cs="Arial"/>
        </w:rPr>
        <w:t>they set for scaling new technology. Rather, the focus is on the scaling framework and whether it is a useful tool for</w:t>
      </w:r>
      <w:r w:rsidR="00444072" w:rsidRPr="00A96AF2">
        <w:rPr>
          <w:rFonts w:ascii="Arial" w:hAnsi="Arial" w:cs="Arial"/>
        </w:rPr>
        <w:t xml:space="preserve"> identifying </w:t>
      </w:r>
      <w:r w:rsidR="00444072" w:rsidRPr="00A96AF2">
        <w:rPr>
          <w:rFonts w:ascii="Arial" w:hAnsi="Arial" w:cs="Arial"/>
          <w:i/>
          <w:iCs/>
        </w:rPr>
        <w:t xml:space="preserve">what </w:t>
      </w:r>
      <w:proofErr w:type="gramStart"/>
      <w:r w:rsidR="00444072" w:rsidRPr="00A96AF2">
        <w:rPr>
          <w:rFonts w:ascii="Arial" w:hAnsi="Arial" w:cs="Arial"/>
          <w:i/>
          <w:iCs/>
        </w:rPr>
        <w:t>has to</w:t>
      </w:r>
      <w:proofErr w:type="gramEnd"/>
      <w:r w:rsidR="00444072" w:rsidRPr="00A96AF2">
        <w:rPr>
          <w:rFonts w:ascii="Arial" w:hAnsi="Arial" w:cs="Arial"/>
          <w:i/>
          <w:iCs/>
        </w:rPr>
        <w:t xml:space="preserve"> happen</w:t>
      </w:r>
      <w:r w:rsidR="00444072" w:rsidRPr="00A96AF2">
        <w:rPr>
          <w:rFonts w:ascii="Arial" w:hAnsi="Arial" w:cs="Arial"/>
        </w:rPr>
        <w:t xml:space="preserve"> for these targets to be met.</w:t>
      </w:r>
      <w:r w:rsidR="00EC0AE2" w:rsidRPr="00A96AF2">
        <w:rPr>
          <w:rFonts w:ascii="Arial" w:hAnsi="Arial" w:cs="Arial"/>
        </w:rPr>
        <w:t xml:space="preserve"> </w:t>
      </w:r>
      <w:r>
        <w:rPr>
          <w:rFonts w:ascii="Arial" w:hAnsi="Arial" w:cs="Arial"/>
        </w:rPr>
        <w:t xml:space="preserve">Our main concern is </w:t>
      </w:r>
      <w:r w:rsidR="00F24AAB" w:rsidRPr="00A96AF2">
        <w:rPr>
          <w:rFonts w:ascii="Arial" w:hAnsi="Arial" w:cs="Arial"/>
        </w:rPr>
        <w:t xml:space="preserve">not </w:t>
      </w:r>
      <w:r>
        <w:rPr>
          <w:rFonts w:ascii="Arial" w:hAnsi="Arial" w:cs="Arial"/>
        </w:rPr>
        <w:t xml:space="preserve">the </w:t>
      </w:r>
      <w:r w:rsidR="00EC0AE2" w:rsidRPr="00A96AF2">
        <w:rPr>
          <w:rFonts w:ascii="Arial" w:hAnsi="Arial" w:cs="Arial"/>
        </w:rPr>
        <w:t xml:space="preserve">relevance and utility of the </w:t>
      </w:r>
      <w:r w:rsidR="00F24AAB">
        <w:rPr>
          <w:rFonts w:ascii="Arial" w:hAnsi="Arial" w:cs="Arial"/>
        </w:rPr>
        <w:t>projects but of the framework itself.</w:t>
      </w:r>
    </w:p>
    <w:p w14:paraId="616E7952" w14:textId="77777777" w:rsidR="00FB6CF3" w:rsidRDefault="00FB6CF3" w:rsidP="00CD046F">
      <w:pPr>
        <w:pStyle w:val="Footer"/>
        <w:jc w:val="both"/>
        <w:rPr>
          <w:rFonts w:ascii="Arial" w:hAnsi="Arial" w:cs="Arial"/>
        </w:rPr>
      </w:pPr>
    </w:p>
    <w:p w14:paraId="25CF3363" w14:textId="77777777" w:rsidR="00FB6CF3" w:rsidRDefault="00CD046F" w:rsidP="00CD046F">
      <w:pPr>
        <w:pStyle w:val="Footer"/>
        <w:jc w:val="both"/>
        <w:rPr>
          <w:rFonts w:ascii="Arial" w:hAnsi="Arial" w:cs="Arial"/>
        </w:rPr>
      </w:pPr>
      <w:r w:rsidRPr="009E5CFB">
        <w:rPr>
          <w:rFonts w:ascii="Arial" w:hAnsi="Arial" w:cs="Arial"/>
        </w:rPr>
        <w:t xml:space="preserve">The report is organised as follows. </w:t>
      </w:r>
      <w:r w:rsidR="00FB6CF3">
        <w:rPr>
          <w:rFonts w:ascii="Arial" w:hAnsi="Arial" w:cs="Arial"/>
        </w:rPr>
        <w:t>S</w:t>
      </w:r>
      <w:r w:rsidRPr="009E5CFB">
        <w:rPr>
          <w:rFonts w:ascii="Arial" w:hAnsi="Arial" w:cs="Arial"/>
        </w:rPr>
        <w:t xml:space="preserve">ections </w:t>
      </w:r>
      <w:r w:rsidR="00FB6CF3">
        <w:rPr>
          <w:rFonts w:ascii="Arial" w:hAnsi="Arial" w:cs="Arial"/>
        </w:rPr>
        <w:t xml:space="preserve">2 and 3 </w:t>
      </w:r>
      <w:r w:rsidRPr="009E5CFB">
        <w:rPr>
          <w:rFonts w:ascii="Arial" w:hAnsi="Arial" w:cs="Arial"/>
        </w:rPr>
        <w:t>present the scaling framework and describe data and methods. Section</w:t>
      </w:r>
      <w:r w:rsidR="00FB6CF3">
        <w:rPr>
          <w:rFonts w:ascii="Arial" w:hAnsi="Arial" w:cs="Arial"/>
        </w:rPr>
        <w:t>s</w:t>
      </w:r>
      <w:r w:rsidRPr="009E5CFB">
        <w:rPr>
          <w:rFonts w:ascii="Arial" w:hAnsi="Arial" w:cs="Arial"/>
        </w:rPr>
        <w:t xml:space="preserve"> 4 </w:t>
      </w:r>
      <w:r w:rsidR="00FB6CF3">
        <w:rPr>
          <w:rFonts w:ascii="Arial" w:hAnsi="Arial" w:cs="Arial"/>
        </w:rPr>
        <w:t>and 5 discuss the value of the framework for project design and performance. Section 6 identifies gaps. The final section summarises our conclusions and recommendations.</w:t>
      </w:r>
    </w:p>
    <w:p w14:paraId="5D61B0D2" w14:textId="679745BB" w:rsidR="00CD046F" w:rsidRPr="009E5CFB" w:rsidRDefault="00CD046F" w:rsidP="006F4708">
      <w:pPr>
        <w:pStyle w:val="Footer"/>
        <w:rPr>
          <w:rFonts w:ascii="Arial" w:hAnsi="Arial" w:cs="Arial"/>
        </w:rPr>
      </w:pPr>
    </w:p>
    <w:p w14:paraId="315AF8A4" w14:textId="3B01C133" w:rsidR="00CD046F" w:rsidRPr="009E5CFB" w:rsidRDefault="00CD046F" w:rsidP="00CD046F">
      <w:pPr>
        <w:pStyle w:val="Footer"/>
        <w:jc w:val="center"/>
        <w:rPr>
          <w:rFonts w:ascii="Arial" w:hAnsi="Arial" w:cs="Arial"/>
          <w:b/>
          <w:bCs/>
        </w:rPr>
      </w:pPr>
      <w:r w:rsidRPr="009E5CFB">
        <w:rPr>
          <w:rFonts w:ascii="Arial" w:hAnsi="Arial" w:cs="Arial"/>
          <w:b/>
          <w:bCs/>
        </w:rPr>
        <w:t>2</w:t>
      </w:r>
      <w:r w:rsidR="00FB6CF3">
        <w:rPr>
          <w:rFonts w:ascii="Arial" w:hAnsi="Arial" w:cs="Arial"/>
          <w:b/>
          <w:bCs/>
        </w:rPr>
        <w:t>.</w:t>
      </w:r>
      <w:r w:rsidRPr="009E5CFB">
        <w:rPr>
          <w:rFonts w:ascii="Arial" w:hAnsi="Arial" w:cs="Arial"/>
          <w:b/>
          <w:bCs/>
        </w:rPr>
        <w:t xml:space="preserve"> Conceptual Framework</w:t>
      </w:r>
    </w:p>
    <w:p w14:paraId="462FA45B" w14:textId="77777777" w:rsidR="006F4708" w:rsidRPr="009E5CFB" w:rsidRDefault="006F4708" w:rsidP="006F4708">
      <w:pPr>
        <w:pStyle w:val="Footer"/>
        <w:rPr>
          <w:rFonts w:ascii="Arial" w:hAnsi="Arial" w:cs="Arial"/>
        </w:rPr>
      </w:pPr>
    </w:p>
    <w:p w14:paraId="573162AA" w14:textId="47F5855E" w:rsidR="009E5CFB" w:rsidRDefault="00F40B90" w:rsidP="009E5CFB">
      <w:pPr>
        <w:spacing w:after="0" w:line="240" w:lineRule="auto"/>
        <w:jc w:val="both"/>
        <w:rPr>
          <w:rFonts w:ascii="Arial" w:hAnsi="Arial" w:cs="Arial"/>
        </w:rPr>
      </w:pPr>
      <w:r>
        <w:rPr>
          <w:rFonts w:ascii="Arial" w:hAnsi="Arial" w:cs="Arial"/>
        </w:rPr>
        <w:t>The l</w:t>
      </w:r>
      <w:r w:rsidRPr="009E5CFB">
        <w:rPr>
          <w:rFonts w:ascii="Arial" w:hAnsi="Arial" w:cs="Arial"/>
        </w:rPr>
        <w:t xml:space="preserve">iterature dedicated to understanding </w:t>
      </w:r>
      <w:r w:rsidR="000C406D">
        <w:rPr>
          <w:rFonts w:ascii="Arial" w:hAnsi="Arial" w:cs="Arial"/>
        </w:rPr>
        <w:t>the scaling of agricultural innovations in</w:t>
      </w:r>
      <w:r w:rsidR="004D49DB">
        <w:rPr>
          <w:rFonts w:ascii="Arial" w:hAnsi="Arial" w:cs="Arial"/>
        </w:rPr>
        <w:t xml:space="preserve"> developing </w:t>
      </w:r>
      <w:r w:rsidRPr="009E5CFB">
        <w:rPr>
          <w:rFonts w:ascii="Arial" w:hAnsi="Arial" w:cs="Arial"/>
        </w:rPr>
        <w:t xml:space="preserve">countries </w:t>
      </w:r>
      <w:r w:rsidR="000C406D">
        <w:rPr>
          <w:rFonts w:ascii="Arial" w:hAnsi="Arial" w:cs="Arial"/>
        </w:rPr>
        <w:t xml:space="preserve">is vast </w:t>
      </w:r>
      <w:r w:rsidRPr="009E5CFB">
        <w:rPr>
          <w:rFonts w:ascii="Arial" w:hAnsi="Arial" w:cs="Arial"/>
        </w:rPr>
        <w:t xml:space="preserve">(Feder et al., 1985; </w:t>
      </w:r>
      <w:proofErr w:type="spellStart"/>
      <w:r w:rsidRPr="009E5CFB">
        <w:rPr>
          <w:rFonts w:ascii="Arial" w:hAnsi="Arial" w:cs="Arial"/>
        </w:rPr>
        <w:t>Sunding</w:t>
      </w:r>
      <w:proofErr w:type="spellEnd"/>
      <w:r w:rsidRPr="009E5CFB">
        <w:rPr>
          <w:rFonts w:ascii="Arial" w:hAnsi="Arial" w:cs="Arial"/>
        </w:rPr>
        <w:t xml:space="preserve"> and Zilberman, 2001; </w:t>
      </w:r>
      <w:r w:rsidR="004D49DB">
        <w:rPr>
          <w:rFonts w:ascii="Arial" w:hAnsi="Arial" w:cs="Arial"/>
        </w:rPr>
        <w:t>d</w:t>
      </w:r>
      <w:r w:rsidRPr="009E5CFB">
        <w:rPr>
          <w:rFonts w:ascii="Arial" w:hAnsi="Arial" w:cs="Arial"/>
        </w:rPr>
        <w:t xml:space="preserve">e </w:t>
      </w:r>
      <w:proofErr w:type="spellStart"/>
      <w:r w:rsidRPr="009E5CFB">
        <w:rPr>
          <w:rFonts w:ascii="Arial" w:hAnsi="Arial" w:cs="Arial"/>
        </w:rPr>
        <w:t>Janvry</w:t>
      </w:r>
      <w:proofErr w:type="spellEnd"/>
      <w:r w:rsidRPr="009E5CFB">
        <w:rPr>
          <w:rFonts w:ascii="Arial" w:hAnsi="Arial" w:cs="Arial"/>
        </w:rPr>
        <w:t xml:space="preserve">, </w:t>
      </w:r>
      <w:proofErr w:type="spellStart"/>
      <w:r w:rsidRPr="009E5CFB">
        <w:rPr>
          <w:rFonts w:ascii="Arial" w:hAnsi="Arial" w:cs="Arial"/>
        </w:rPr>
        <w:t>Macours</w:t>
      </w:r>
      <w:proofErr w:type="spellEnd"/>
      <w:r w:rsidRPr="009E5CFB">
        <w:rPr>
          <w:rFonts w:ascii="Arial" w:hAnsi="Arial" w:cs="Arial"/>
        </w:rPr>
        <w:t xml:space="preserve">, and </w:t>
      </w:r>
      <w:proofErr w:type="spellStart"/>
      <w:r w:rsidRPr="009E5CFB">
        <w:rPr>
          <w:rFonts w:ascii="Arial" w:hAnsi="Arial" w:cs="Arial"/>
        </w:rPr>
        <w:t>Sadoulet</w:t>
      </w:r>
      <w:proofErr w:type="spellEnd"/>
      <w:r w:rsidRPr="009E5CFB">
        <w:rPr>
          <w:rFonts w:ascii="Arial" w:hAnsi="Arial" w:cs="Arial"/>
        </w:rPr>
        <w:t>, 201</w:t>
      </w:r>
      <w:r w:rsidR="00F903DC">
        <w:rPr>
          <w:rFonts w:ascii="Arial" w:hAnsi="Arial" w:cs="Arial"/>
        </w:rPr>
        <w:t>6</w:t>
      </w:r>
      <w:r w:rsidRPr="009E5CFB">
        <w:rPr>
          <w:rFonts w:ascii="Arial" w:hAnsi="Arial" w:cs="Arial"/>
        </w:rPr>
        <w:t xml:space="preserve">; Stevenson and </w:t>
      </w:r>
      <w:proofErr w:type="spellStart"/>
      <w:r w:rsidRPr="009E5CFB">
        <w:rPr>
          <w:rFonts w:ascii="Arial" w:hAnsi="Arial" w:cs="Arial"/>
        </w:rPr>
        <w:t>Vlek</w:t>
      </w:r>
      <w:proofErr w:type="spellEnd"/>
      <w:r w:rsidRPr="009E5CFB">
        <w:rPr>
          <w:rFonts w:ascii="Arial" w:hAnsi="Arial" w:cs="Arial"/>
        </w:rPr>
        <w:t xml:space="preserve"> 2018). </w:t>
      </w:r>
      <w:r w:rsidR="009E5CFB" w:rsidRPr="009E5CFB">
        <w:rPr>
          <w:rFonts w:ascii="Arial" w:hAnsi="Arial" w:cs="Arial"/>
        </w:rPr>
        <w:t xml:space="preserve">Most of </w:t>
      </w:r>
      <w:r w:rsidR="000C406D">
        <w:rPr>
          <w:rFonts w:ascii="Arial" w:hAnsi="Arial" w:cs="Arial"/>
        </w:rPr>
        <w:t xml:space="preserve">this literature focuses on the </w:t>
      </w:r>
      <w:r w:rsidR="001E35A2" w:rsidRPr="009E5CFB">
        <w:rPr>
          <w:rFonts w:ascii="Arial" w:hAnsi="Arial" w:cs="Arial"/>
        </w:rPr>
        <w:t xml:space="preserve">microeconomics of </w:t>
      </w:r>
      <w:r w:rsidR="000C406D">
        <w:rPr>
          <w:rFonts w:ascii="Arial" w:hAnsi="Arial" w:cs="Arial"/>
        </w:rPr>
        <w:t>adoption, e</w:t>
      </w:r>
      <w:r w:rsidR="001E35A2" w:rsidRPr="009E5CFB">
        <w:rPr>
          <w:rFonts w:ascii="Arial" w:hAnsi="Arial" w:cs="Arial"/>
        </w:rPr>
        <w:t xml:space="preserve">xploring decision-making, time horizons, and risk preferences </w:t>
      </w:r>
      <w:r w:rsidR="000C406D">
        <w:rPr>
          <w:rFonts w:ascii="Arial" w:hAnsi="Arial" w:cs="Arial"/>
        </w:rPr>
        <w:t xml:space="preserve">at the household level </w:t>
      </w:r>
      <w:r w:rsidR="001E35A2" w:rsidRPr="009E5CFB">
        <w:rPr>
          <w:rFonts w:ascii="Arial" w:hAnsi="Arial" w:cs="Arial"/>
        </w:rPr>
        <w:t xml:space="preserve">(Foster and Rosenzweig, 2010; Suri, 2011; Magruder, 2017). </w:t>
      </w:r>
      <w:r w:rsidR="009E5CFB" w:rsidRPr="009E5CFB">
        <w:rPr>
          <w:rFonts w:ascii="Arial" w:hAnsi="Arial" w:cs="Arial"/>
        </w:rPr>
        <w:t xml:space="preserve">Yet adoption or non-adoption may be </w:t>
      </w:r>
      <w:r w:rsidR="000C406D">
        <w:rPr>
          <w:rFonts w:ascii="Arial" w:hAnsi="Arial" w:cs="Arial"/>
        </w:rPr>
        <w:t xml:space="preserve">due to factors that are </w:t>
      </w:r>
      <w:r w:rsidR="009E5CFB" w:rsidRPr="009E5CFB">
        <w:rPr>
          <w:rFonts w:ascii="Arial" w:hAnsi="Arial" w:cs="Arial"/>
        </w:rPr>
        <w:t xml:space="preserve">beyond farmers’ control. </w:t>
      </w:r>
      <w:r w:rsidR="001E35A2" w:rsidRPr="009E5CFB">
        <w:rPr>
          <w:rFonts w:ascii="Arial" w:hAnsi="Arial" w:cs="Arial"/>
        </w:rPr>
        <w:t xml:space="preserve">They are embedded in complex value chains that </w:t>
      </w:r>
      <w:r w:rsidR="009E5CFB" w:rsidRPr="009E5CFB">
        <w:rPr>
          <w:rFonts w:ascii="Arial" w:hAnsi="Arial" w:cs="Arial"/>
        </w:rPr>
        <w:t xml:space="preserve">may </w:t>
      </w:r>
      <w:r w:rsidR="001E35A2" w:rsidRPr="009E5CFB">
        <w:rPr>
          <w:rFonts w:ascii="Arial" w:hAnsi="Arial" w:cs="Arial"/>
        </w:rPr>
        <w:t xml:space="preserve">deliver technologies </w:t>
      </w:r>
      <w:r w:rsidR="009E5CFB" w:rsidRPr="009E5CFB">
        <w:rPr>
          <w:rFonts w:ascii="Arial" w:hAnsi="Arial" w:cs="Arial"/>
        </w:rPr>
        <w:t xml:space="preserve">that are unsuitable, or unaffordable, or without the necessary </w:t>
      </w:r>
      <w:r w:rsidR="001E35A2" w:rsidRPr="009E5CFB">
        <w:rPr>
          <w:rFonts w:ascii="Arial" w:hAnsi="Arial" w:cs="Arial"/>
        </w:rPr>
        <w:t xml:space="preserve">training, knowledge, and market linkages </w:t>
      </w:r>
      <w:r w:rsidR="009E5CFB" w:rsidRPr="009E5CFB">
        <w:rPr>
          <w:rFonts w:ascii="Arial" w:hAnsi="Arial" w:cs="Arial"/>
        </w:rPr>
        <w:t>(</w:t>
      </w:r>
      <w:proofErr w:type="spellStart"/>
      <w:r w:rsidR="001E35A2" w:rsidRPr="009E5CFB">
        <w:rPr>
          <w:rFonts w:ascii="Arial" w:hAnsi="Arial" w:cs="Arial"/>
        </w:rPr>
        <w:t>Trienekens</w:t>
      </w:r>
      <w:proofErr w:type="spellEnd"/>
      <w:r w:rsidR="001E35A2" w:rsidRPr="009E5CFB">
        <w:rPr>
          <w:rFonts w:ascii="Arial" w:hAnsi="Arial" w:cs="Arial"/>
        </w:rPr>
        <w:t xml:space="preserve">, 2011; Wiggins and Keats, 2013; </w:t>
      </w:r>
      <w:proofErr w:type="spellStart"/>
      <w:r w:rsidR="001E35A2" w:rsidRPr="009E5CFB">
        <w:rPr>
          <w:rFonts w:ascii="Arial" w:hAnsi="Arial" w:cs="Arial"/>
        </w:rPr>
        <w:t>Vroegindewey</w:t>
      </w:r>
      <w:proofErr w:type="spellEnd"/>
      <w:r w:rsidR="001E35A2" w:rsidRPr="009E5CFB">
        <w:rPr>
          <w:rFonts w:ascii="Arial" w:hAnsi="Arial" w:cs="Arial"/>
        </w:rPr>
        <w:t xml:space="preserve"> and </w:t>
      </w:r>
      <w:proofErr w:type="spellStart"/>
      <w:r w:rsidR="001E35A2" w:rsidRPr="009E5CFB">
        <w:rPr>
          <w:rFonts w:ascii="Arial" w:hAnsi="Arial" w:cs="Arial"/>
        </w:rPr>
        <w:t>Hodbod</w:t>
      </w:r>
      <w:proofErr w:type="spellEnd"/>
      <w:r w:rsidR="001E35A2" w:rsidRPr="009E5CFB">
        <w:rPr>
          <w:rFonts w:ascii="Arial" w:hAnsi="Arial" w:cs="Arial"/>
        </w:rPr>
        <w:t xml:space="preserve">, 2018). </w:t>
      </w:r>
      <w:r w:rsidR="000C406D">
        <w:rPr>
          <w:rFonts w:ascii="Arial" w:hAnsi="Arial" w:cs="Arial"/>
        </w:rPr>
        <w:t xml:space="preserve">In consequence, </w:t>
      </w:r>
      <w:r w:rsidR="001E35A2" w:rsidRPr="009E5CFB">
        <w:rPr>
          <w:rFonts w:ascii="Arial" w:hAnsi="Arial" w:cs="Arial"/>
        </w:rPr>
        <w:t xml:space="preserve">the scaling of agricultural innovations </w:t>
      </w:r>
      <w:r w:rsidR="009E5CFB">
        <w:rPr>
          <w:rFonts w:ascii="Arial" w:hAnsi="Arial" w:cs="Arial"/>
        </w:rPr>
        <w:t xml:space="preserve">must </w:t>
      </w:r>
      <w:r w:rsidR="001E35A2" w:rsidRPr="009E5CFB">
        <w:rPr>
          <w:rFonts w:ascii="Arial" w:hAnsi="Arial" w:cs="Arial"/>
        </w:rPr>
        <w:t>address weaknesses along the entire value chain (</w:t>
      </w:r>
      <w:proofErr w:type="spellStart"/>
      <w:r w:rsidR="001E35A2" w:rsidRPr="009E5CFB">
        <w:rPr>
          <w:rFonts w:ascii="Arial" w:hAnsi="Arial" w:cs="Arial"/>
        </w:rPr>
        <w:t>Wigboldus</w:t>
      </w:r>
      <w:proofErr w:type="spellEnd"/>
      <w:r w:rsidR="001E35A2" w:rsidRPr="009E5CFB">
        <w:rPr>
          <w:rFonts w:ascii="Arial" w:hAnsi="Arial" w:cs="Arial"/>
        </w:rPr>
        <w:t xml:space="preserve"> et al., 2016). </w:t>
      </w:r>
    </w:p>
    <w:p w14:paraId="32E64838" w14:textId="77777777" w:rsidR="009E5CFB" w:rsidRDefault="009E5CFB" w:rsidP="009E5CFB">
      <w:pPr>
        <w:spacing w:after="0" w:line="240" w:lineRule="auto"/>
        <w:jc w:val="both"/>
        <w:rPr>
          <w:rFonts w:ascii="Arial" w:hAnsi="Arial" w:cs="Arial"/>
        </w:rPr>
      </w:pPr>
    </w:p>
    <w:p w14:paraId="4E8CC4FF" w14:textId="156E2D88" w:rsidR="00624437" w:rsidRDefault="00624437" w:rsidP="00802C11">
      <w:pPr>
        <w:jc w:val="both"/>
        <w:rPr>
          <w:rFonts w:ascii="Arial" w:hAnsi="Arial" w:cs="Arial"/>
        </w:rPr>
      </w:pPr>
      <w:r>
        <w:rPr>
          <w:rFonts w:ascii="Arial" w:hAnsi="Arial" w:cs="Arial"/>
          <w:bCs/>
        </w:rPr>
        <w:t>T</w:t>
      </w:r>
      <w:r w:rsidR="00902ED2">
        <w:rPr>
          <w:rFonts w:ascii="Arial" w:hAnsi="Arial" w:cs="Arial"/>
          <w:bCs/>
        </w:rPr>
        <w:t xml:space="preserve">he CGIAR’s </w:t>
      </w:r>
      <w:r w:rsidR="000C406D">
        <w:rPr>
          <w:rFonts w:ascii="Arial" w:hAnsi="Arial" w:cs="Arial"/>
          <w:bCs/>
        </w:rPr>
        <w:t xml:space="preserve">scaling </w:t>
      </w:r>
      <w:r w:rsidR="00902ED2">
        <w:rPr>
          <w:rFonts w:ascii="Arial" w:hAnsi="Arial" w:cs="Arial"/>
          <w:bCs/>
        </w:rPr>
        <w:t xml:space="preserve">framework is </w:t>
      </w:r>
      <w:r w:rsidR="00902ED2" w:rsidRPr="00902ED2">
        <w:rPr>
          <w:rFonts w:ascii="Arial" w:hAnsi="Arial" w:cs="Arial"/>
          <w:bCs/>
        </w:rPr>
        <w:t xml:space="preserve">structured around </w:t>
      </w:r>
      <w:r w:rsidR="00902ED2">
        <w:rPr>
          <w:rFonts w:ascii="Arial" w:hAnsi="Arial" w:cs="Arial"/>
          <w:bCs/>
        </w:rPr>
        <w:t xml:space="preserve">the </w:t>
      </w:r>
      <w:r w:rsidR="00902ED2" w:rsidRPr="00902ED2">
        <w:rPr>
          <w:rFonts w:ascii="Arial" w:hAnsi="Arial" w:cs="Arial"/>
          <w:bCs/>
        </w:rPr>
        <w:t>value chain</w:t>
      </w:r>
      <w:r w:rsidR="00802C11">
        <w:rPr>
          <w:rFonts w:ascii="Arial" w:hAnsi="Arial" w:cs="Arial"/>
          <w:bCs/>
        </w:rPr>
        <w:t xml:space="preserve"> (</w:t>
      </w:r>
      <w:r w:rsidR="00F903DC">
        <w:rPr>
          <w:rFonts w:ascii="Arial" w:hAnsi="Arial" w:cs="Arial"/>
          <w:bCs/>
        </w:rPr>
        <w:t>CGIAR, XXXX</w:t>
      </w:r>
      <w:r w:rsidR="00802C11">
        <w:rPr>
          <w:rFonts w:ascii="Arial" w:hAnsi="Arial" w:cs="Arial"/>
          <w:bCs/>
        </w:rPr>
        <w:t>)</w:t>
      </w:r>
      <w:r w:rsidR="00902ED2" w:rsidRPr="00902ED2">
        <w:rPr>
          <w:rFonts w:ascii="Arial" w:hAnsi="Arial" w:cs="Arial"/>
          <w:bCs/>
        </w:rPr>
        <w:t xml:space="preserve">. In this framework, </w:t>
      </w:r>
      <w:r w:rsidR="00902ED2">
        <w:rPr>
          <w:rFonts w:ascii="Arial" w:hAnsi="Arial" w:cs="Arial"/>
          <w:bCs/>
        </w:rPr>
        <w:t xml:space="preserve">plant breeders </w:t>
      </w:r>
      <w:r w:rsidR="001E35A2" w:rsidRPr="009E5CFB">
        <w:rPr>
          <w:rFonts w:ascii="Arial" w:hAnsi="Arial" w:cs="Arial"/>
        </w:rPr>
        <w:t xml:space="preserve">develop </w:t>
      </w:r>
      <w:r w:rsidR="00902ED2">
        <w:rPr>
          <w:rFonts w:ascii="Arial" w:hAnsi="Arial" w:cs="Arial"/>
        </w:rPr>
        <w:t xml:space="preserve">improved </w:t>
      </w:r>
      <w:r w:rsidR="001E35A2" w:rsidRPr="009E5CFB">
        <w:rPr>
          <w:rFonts w:ascii="Arial" w:hAnsi="Arial" w:cs="Arial"/>
        </w:rPr>
        <w:t xml:space="preserve">varieties that are appropriate and demanded by farmers. Seed systems </w:t>
      </w:r>
      <w:r w:rsidR="00902ED2">
        <w:rPr>
          <w:rFonts w:ascii="Arial" w:hAnsi="Arial" w:cs="Arial"/>
        </w:rPr>
        <w:t>d</w:t>
      </w:r>
      <w:r w:rsidR="001E35A2" w:rsidRPr="009E5CFB">
        <w:rPr>
          <w:rFonts w:ascii="Arial" w:hAnsi="Arial" w:cs="Arial"/>
        </w:rPr>
        <w:t xml:space="preserve">eliver quality seeds at accessible prices, while training and extension services equip farmers with the knowledge and </w:t>
      </w:r>
      <w:proofErr w:type="gramStart"/>
      <w:r w:rsidR="001E35A2" w:rsidRPr="009E5CFB">
        <w:rPr>
          <w:rFonts w:ascii="Arial" w:hAnsi="Arial" w:cs="Arial"/>
        </w:rPr>
        <w:t>skills</w:t>
      </w:r>
      <w:proofErr w:type="gramEnd"/>
      <w:r w:rsidR="001E35A2" w:rsidRPr="009E5CFB">
        <w:rPr>
          <w:rFonts w:ascii="Arial" w:hAnsi="Arial" w:cs="Arial"/>
        </w:rPr>
        <w:t xml:space="preserve"> they need to successfully cultivate </w:t>
      </w:r>
      <w:r w:rsidR="00902ED2">
        <w:rPr>
          <w:rFonts w:ascii="Arial" w:hAnsi="Arial" w:cs="Arial"/>
        </w:rPr>
        <w:t xml:space="preserve">these </w:t>
      </w:r>
      <w:r w:rsidR="001E35A2" w:rsidRPr="009E5CFB">
        <w:rPr>
          <w:rFonts w:ascii="Arial" w:hAnsi="Arial" w:cs="Arial"/>
        </w:rPr>
        <w:t>improved crop varieties and</w:t>
      </w:r>
      <w:r w:rsidR="00902ED2">
        <w:rPr>
          <w:rFonts w:ascii="Arial" w:hAnsi="Arial" w:cs="Arial"/>
        </w:rPr>
        <w:t xml:space="preserve"> use </w:t>
      </w:r>
      <w:r w:rsidR="001E35A2" w:rsidRPr="009E5CFB">
        <w:rPr>
          <w:rFonts w:ascii="Arial" w:hAnsi="Arial" w:cs="Arial"/>
        </w:rPr>
        <w:t xml:space="preserve">improved </w:t>
      </w:r>
      <w:r w:rsidR="00902ED2">
        <w:rPr>
          <w:rFonts w:ascii="Arial" w:hAnsi="Arial" w:cs="Arial"/>
        </w:rPr>
        <w:t xml:space="preserve">management practices. </w:t>
      </w:r>
      <w:r w:rsidR="001E35A2" w:rsidRPr="009E5CFB">
        <w:rPr>
          <w:rFonts w:ascii="Arial" w:hAnsi="Arial" w:cs="Arial"/>
        </w:rPr>
        <w:t xml:space="preserve">techniques. To </w:t>
      </w:r>
      <w:r w:rsidR="00902ED2">
        <w:rPr>
          <w:rFonts w:ascii="Arial" w:hAnsi="Arial" w:cs="Arial"/>
        </w:rPr>
        <w:t xml:space="preserve">spur adoption, market opportunities exist that </w:t>
      </w:r>
      <w:r w:rsidR="001E35A2" w:rsidRPr="009E5CFB">
        <w:rPr>
          <w:rFonts w:ascii="Arial" w:hAnsi="Arial" w:cs="Arial"/>
        </w:rPr>
        <w:t>allow farmers to recoup upfront investments</w:t>
      </w:r>
      <w:r w:rsidR="00902ED2">
        <w:rPr>
          <w:rFonts w:ascii="Arial" w:hAnsi="Arial" w:cs="Arial"/>
        </w:rPr>
        <w:t xml:space="preserve"> and bring additional benefits</w:t>
      </w:r>
      <w:r w:rsidR="001E35A2" w:rsidRPr="009E5CFB">
        <w:rPr>
          <w:rFonts w:ascii="Arial" w:hAnsi="Arial" w:cs="Arial"/>
        </w:rPr>
        <w:t>.</w:t>
      </w:r>
      <w:r w:rsidR="00902ED2">
        <w:rPr>
          <w:rFonts w:ascii="Arial" w:hAnsi="Arial" w:cs="Arial"/>
        </w:rPr>
        <w:t xml:space="preserve"> </w:t>
      </w:r>
      <w:r w:rsidR="001E35A2" w:rsidRPr="009E5CFB">
        <w:rPr>
          <w:rFonts w:ascii="Arial" w:hAnsi="Arial" w:cs="Arial"/>
        </w:rPr>
        <w:t xml:space="preserve">Failure </w:t>
      </w:r>
      <w:r w:rsidR="00902ED2">
        <w:rPr>
          <w:rFonts w:ascii="Arial" w:hAnsi="Arial" w:cs="Arial"/>
        </w:rPr>
        <w:t xml:space="preserve">in any </w:t>
      </w:r>
      <w:r w:rsidR="000C406D">
        <w:rPr>
          <w:rFonts w:ascii="Arial" w:hAnsi="Arial" w:cs="Arial"/>
        </w:rPr>
        <w:t xml:space="preserve">single </w:t>
      </w:r>
      <w:r w:rsidR="00902ED2">
        <w:rPr>
          <w:rFonts w:ascii="Arial" w:hAnsi="Arial" w:cs="Arial"/>
        </w:rPr>
        <w:t xml:space="preserve">link in the value chain may prevent </w:t>
      </w:r>
      <w:r>
        <w:rPr>
          <w:rFonts w:ascii="Arial" w:hAnsi="Arial" w:cs="Arial"/>
        </w:rPr>
        <w:t xml:space="preserve">successful </w:t>
      </w:r>
      <w:r w:rsidR="00902ED2">
        <w:rPr>
          <w:rFonts w:ascii="Arial" w:hAnsi="Arial" w:cs="Arial"/>
        </w:rPr>
        <w:t>adoption at scale.</w:t>
      </w:r>
      <w:r>
        <w:rPr>
          <w:rFonts w:ascii="Arial" w:hAnsi="Arial" w:cs="Arial"/>
        </w:rPr>
        <w:t xml:space="preserve"> Thus, e</w:t>
      </w:r>
      <w:r w:rsidR="001E35A2" w:rsidRPr="009E5CFB">
        <w:rPr>
          <w:rFonts w:ascii="Arial" w:hAnsi="Arial" w:cs="Arial"/>
        </w:rPr>
        <w:t xml:space="preserve">ven if </w:t>
      </w:r>
      <w:r>
        <w:rPr>
          <w:rFonts w:ascii="Arial" w:hAnsi="Arial" w:cs="Arial"/>
        </w:rPr>
        <w:t>varieties with d</w:t>
      </w:r>
      <w:r w:rsidR="001E35A2" w:rsidRPr="009E5CFB">
        <w:rPr>
          <w:rFonts w:ascii="Arial" w:hAnsi="Arial" w:cs="Arial"/>
        </w:rPr>
        <w:t xml:space="preserve">esirable </w:t>
      </w:r>
      <w:r>
        <w:rPr>
          <w:rFonts w:ascii="Arial" w:hAnsi="Arial" w:cs="Arial"/>
        </w:rPr>
        <w:t xml:space="preserve">traits </w:t>
      </w:r>
      <w:r w:rsidR="001E35A2" w:rsidRPr="009E5CFB">
        <w:rPr>
          <w:rFonts w:ascii="Arial" w:hAnsi="Arial" w:cs="Arial"/>
        </w:rPr>
        <w:t xml:space="preserve">exist and </w:t>
      </w:r>
      <w:r>
        <w:rPr>
          <w:rFonts w:ascii="Arial" w:hAnsi="Arial" w:cs="Arial"/>
        </w:rPr>
        <w:t>quality s</w:t>
      </w:r>
      <w:r w:rsidR="001E35A2" w:rsidRPr="009E5CFB">
        <w:rPr>
          <w:rFonts w:ascii="Arial" w:hAnsi="Arial" w:cs="Arial"/>
        </w:rPr>
        <w:t>eeds are accessible, farmers will fail to adopt the</w:t>
      </w:r>
      <w:r>
        <w:rPr>
          <w:rFonts w:ascii="Arial" w:hAnsi="Arial" w:cs="Arial"/>
        </w:rPr>
        <w:t xml:space="preserve">m </w:t>
      </w:r>
      <w:r w:rsidR="001E35A2" w:rsidRPr="009E5CFB">
        <w:rPr>
          <w:rFonts w:ascii="Arial" w:hAnsi="Arial" w:cs="Arial"/>
        </w:rPr>
        <w:t xml:space="preserve">if they are unaware of the benefits or lack the skills to cultivate them. </w:t>
      </w:r>
      <w:r w:rsidR="00802C11">
        <w:rPr>
          <w:rFonts w:ascii="Arial" w:hAnsi="Arial" w:cs="Arial"/>
        </w:rPr>
        <w:t>Scaling i</w:t>
      </w:r>
      <w:r w:rsidR="00890A77">
        <w:rPr>
          <w:rFonts w:ascii="Arial" w:hAnsi="Arial" w:cs="Arial"/>
        </w:rPr>
        <w:t>s</w:t>
      </w:r>
      <w:r w:rsidR="00802C11">
        <w:rPr>
          <w:rFonts w:ascii="Arial" w:hAnsi="Arial" w:cs="Arial"/>
        </w:rPr>
        <w:t xml:space="preserve"> therefore viewed as a series of ‘hurdles’ that must be cleared </w:t>
      </w:r>
      <w:r w:rsidR="00802C11" w:rsidRPr="00802C11">
        <w:rPr>
          <w:rFonts w:ascii="Arial" w:hAnsi="Arial" w:cs="Arial"/>
        </w:rPr>
        <w:lastRenderedPageBreak/>
        <w:t xml:space="preserve">before farmers can even begin to weigh the on-farm benefits and feasibility of improved varieties (Shiferaw </w:t>
      </w:r>
      <w:r w:rsidR="00F903DC">
        <w:rPr>
          <w:rFonts w:ascii="Arial" w:hAnsi="Arial" w:cs="Arial"/>
        </w:rPr>
        <w:t>et. al., 2008</w:t>
      </w:r>
      <w:r w:rsidR="00802C11" w:rsidRPr="00802C11">
        <w:rPr>
          <w:rFonts w:ascii="Arial" w:hAnsi="Arial" w:cs="Arial"/>
        </w:rPr>
        <w:t>).</w:t>
      </w:r>
    </w:p>
    <w:p w14:paraId="45D94A17" w14:textId="6BC91730" w:rsidR="00802C11" w:rsidRDefault="00890A77" w:rsidP="001E35A2">
      <w:pPr>
        <w:spacing w:after="0" w:line="240" w:lineRule="auto"/>
        <w:jc w:val="both"/>
        <w:rPr>
          <w:rFonts w:ascii="Arial" w:hAnsi="Arial" w:cs="Arial"/>
        </w:rPr>
      </w:pPr>
      <w:r>
        <w:rPr>
          <w:rFonts w:ascii="Arial" w:hAnsi="Arial" w:cs="Arial"/>
        </w:rPr>
        <w:t>Agricultural Research for Development (AR4D) provides an alternative c</w:t>
      </w:r>
      <w:r w:rsidR="000C406D">
        <w:rPr>
          <w:rFonts w:ascii="Arial" w:hAnsi="Arial" w:cs="Arial"/>
        </w:rPr>
        <w:t xml:space="preserve">onceptual framework </w:t>
      </w:r>
      <w:r w:rsidR="00A339DA">
        <w:rPr>
          <w:rFonts w:ascii="Arial" w:hAnsi="Arial" w:cs="Arial"/>
        </w:rPr>
        <w:t>where scaling is the final phase in a continuum of innovation, starting with ‘discovery’, then ‘testing’, before ‘piloting’ new technology under real-world conditions (</w:t>
      </w:r>
      <w:r w:rsidR="001E35A2" w:rsidRPr="009E5CFB">
        <w:rPr>
          <w:rFonts w:ascii="Arial" w:hAnsi="Arial" w:cs="Arial"/>
        </w:rPr>
        <w:t>Bernhardt 2016</w:t>
      </w:r>
      <w:r w:rsidR="00A339DA">
        <w:rPr>
          <w:rFonts w:ascii="Arial" w:hAnsi="Arial" w:cs="Arial"/>
        </w:rPr>
        <w:t xml:space="preserve">). Yet </w:t>
      </w:r>
      <w:r w:rsidR="001E35A2" w:rsidRPr="009E5CFB">
        <w:rPr>
          <w:rFonts w:ascii="Arial" w:hAnsi="Arial" w:cs="Arial"/>
        </w:rPr>
        <w:t xml:space="preserve">successful scaling </w:t>
      </w:r>
      <w:r w:rsidR="000C406D">
        <w:rPr>
          <w:rFonts w:ascii="Arial" w:hAnsi="Arial" w:cs="Arial"/>
        </w:rPr>
        <w:t>i</w:t>
      </w:r>
      <w:r w:rsidR="001E35A2" w:rsidRPr="009E5CFB">
        <w:rPr>
          <w:rFonts w:ascii="Arial" w:hAnsi="Arial" w:cs="Arial"/>
        </w:rPr>
        <w:t>s rarely this straightforward</w:t>
      </w:r>
      <w:r w:rsidR="00A339DA">
        <w:rPr>
          <w:rFonts w:ascii="Arial" w:hAnsi="Arial" w:cs="Arial"/>
        </w:rPr>
        <w:t xml:space="preserve"> (</w:t>
      </w:r>
      <w:proofErr w:type="spellStart"/>
      <w:r w:rsidR="001E35A2" w:rsidRPr="009E5CFB">
        <w:rPr>
          <w:rFonts w:ascii="Arial" w:hAnsi="Arial" w:cs="Arial"/>
        </w:rPr>
        <w:t>Wigboldus</w:t>
      </w:r>
      <w:proofErr w:type="spellEnd"/>
      <w:r w:rsidR="001E35A2" w:rsidRPr="009E5CFB">
        <w:rPr>
          <w:rFonts w:ascii="Arial" w:hAnsi="Arial" w:cs="Arial"/>
        </w:rPr>
        <w:t xml:space="preserve"> et al.</w:t>
      </w:r>
      <w:r w:rsidR="00A339DA">
        <w:rPr>
          <w:rFonts w:ascii="Arial" w:hAnsi="Arial" w:cs="Arial"/>
        </w:rPr>
        <w:t>,2</w:t>
      </w:r>
      <w:r w:rsidR="001E35A2" w:rsidRPr="009E5CFB">
        <w:rPr>
          <w:rFonts w:ascii="Arial" w:hAnsi="Arial" w:cs="Arial"/>
        </w:rPr>
        <w:t>016)</w:t>
      </w:r>
      <w:r w:rsidR="00A339DA">
        <w:rPr>
          <w:rFonts w:ascii="Arial" w:hAnsi="Arial" w:cs="Arial"/>
        </w:rPr>
        <w:t>. S</w:t>
      </w:r>
      <w:r w:rsidR="001E35A2" w:rsidRPr="009E5CFB">
        <w:rPr>
          <w:rFonts w:ascii="Arial" w:hAnsi="Arial" w:cs="Arial"/>
        </w:rPr>
        <w:t xml:space="preserve">ubstantive modifications </w:t>
      </w:r>
      <w:r w:rsidR="00A339DA">
        <w:rPr>
          <w:rFonts w:ascii="Arial" w:hAnsi="Arial" w:cs="Arial"/>
        </w:rPr>
        <w:t xml:space="preserve">often </w:t>
      </w:r>
      <w:r w:rsidR="001E35A2" w:rsidRPr="009E5CFB">
        <w:rPr>
          <w:rFonts w:ascii="Arial" w:hAnsi="Arial" w:cs="Arial"/>
        </w:rPr>
        <w:t>take place during the scaling phase</w:t>
      </w:r>
      <w:r w:rsidR="00A339DA">
        <w:rPr>
          <w:rFonts w:ascii="Arial" w:hAnsi="Arial" w:cs="Arial"/>
        </w:rPr>
        <w:t>, as new technology is modified to fit a specific environment (</w:t>
      </w:r>
      <w:r w:rsidR="001E35A2" w:rsidRPr="009E5CFB">
        <w:rPr>
          <w:rFonts w:ascii="Arial" w:hAnsi="Arial" w:cs="Arial"/>
        </w:rPr>
        <w:t>Car</w:t>
      </w:r>
      <w:r w:rsidR="00CA4943">
        <w:rPr>
          <w:rFonts w:ascii="Arial" w:hAnsi="Arial" w:cs="Arial"/>
        </w:rPr>
        <w:t>t</w:t>
      </w:r>
      <w:r w:rsidR="001E35A2" w:rsidRPr="009E5CFB">
        <w:rPr>
          <w:rFonts w:ascii="Arial" w:hAnsi="Arial" w:cs="Arial"/>
        </w:rPr>
        <w:t>wright XX)</w:t>
      </w:r>
      <w:r w:rsidR="00A339DA">
        <w:rPr>
          <w:rFonts w:ascii="Arial" w:hAnsi="Arial" w:cs="Arial"/>
        </w:rPr>
        <w:t xml:space="preserve"> or farmers’ circumstances </w:t>
      </w:r>
      <w:r w:rsidR="001E35A2" w:rsidRPr="009E5CFB">
        <w:rPr>
          <w:rFonts w:ascii="Arial" w:hAnsi="Arial" w:cs="Arial"/>
        </w:rPr>
        <w:t xml:space="preserve">(Coe et al. 2014). </w:t>
      </w:r>
      <w:r w:rsidR="008B381F">
        <w:rPr>
          <w:rFonts w:ascii="Arial" w:hAnsi="Arial" w:cs="Arial"/>
        </w:rPr>
        <w:t xml:space="preserve">Moreover, impacts may be reduced if scaling saturates local markets or result in </w:t>
      </w:r>
      <w:r w:rsidR="001E35A2" w:rsidRPr="009E5CFB">
        <w:rPr>
          <w:rFonts w:ascii="Arial" w:hAnsi="Arial" w:cs="Arial"/>
        </w:rPr>
        <w:t>negative externalities</w:t>
      </w:r>
      <w:r w:rsidR="008B381F">
        <w:rPr>
          <w:rFonts w:ascii="Arial" w:hAnsi="Arial" w:cs="Arial"/>
        </w:rPr>
        <w:t xml:space="preserve"> such as </w:t>
      </w:r>
      <w:r w:rsidR="001E35A2" w:rsidRPr="009E5CFB">
        <w:rPr>
          <w:rFonts w:ascii="Arial" w:hAnsi="Arial" w:cs="Arial"/>
        </w:rPr>
        <w:t>the depletion of groundwater. Finally, treatment effects documented in more tightly controlled pilots often diminish during the scaling phase</w:t>
      </w:r>
      <w:r w:rsidR="000C406D">
        <w:rPr>
          <w:rFonts w:ascii="Arial" w:hAnsi="Arial" w:cs="Arial"/>
        </w:rPr>
        <w:t xml:space="preserve">, </w:t>
      </w:r>
      <w:r>
        <w:rPr>
          <w:rFonts w:ascii="Arial" w:hAnsi="Arial" w:cs="Arial"/>
        </w:rPr>
        <w:t xml:space="preserve">because of </w:t>
      </w:r>
      <w:r w:rsidR="000C406D">
        <w:rPr>
          <w:rFonts w:ascii="Arial" w:hAnsi="Arial" w:cs="Arial"/>
        </w:rPr>
        <w:t xml:space="preserve">less intensive </w:t>
      </w:r>
      <w:r w:rsidR="000C406D" w:rsidRPr="009E5CFB">
        <w:rPr>
          <w:rFonts w:ascii="Arial" w:hAnsi="Arial" w:cs="Arial"/>
        </w:rPr>
        <w:t xml:space="preserve">support </w:t>
      </w:r>
      <w:r w:rsidR="000C406D">
        <w:rPr>
          <w:rFonts w:ascii="Arial" w:hAnsi="Arial" w:cs="Arial"/>
        </w:rPr>
        <w:t xml:space="preserve">by extension services </w:t>
      </w:r>
      <w:r w:rsidR="000C406D" w:rsidRPr="009E5CFB">
        <w:rPr>
          <w:rFonts w:ascii="Arial" w:hAnsi="Arial" w:cs="Arial"/>
        </w:rPr>
        <w:t xml:space="preserve">or </w:t>
      </w:r>
      <w:r w:rsidR="000C406D">
        <w:rPr>
          <w:rFonts w:ascii="Arial" w:hAnsi="Arial" w:cs="Arial"/>
        </w:rPr>
        <w:t xml:space="preserve">less strict adherence to </w:t>
      </w:r>
      <w:r w:rsidR="000C406D" w:rsidRPr="009E5CFB">
        <w:rPr>
          <w:rFonts w:ascii="Arial" w:hAnsi="Arial" w:cs="Arial"/>
        </w:rPr>
        <w:t>innovation protocol</w:t>
      </w:r>
      <w:r w:rsidR="000C406D">
        <w:rPr>
          <w:rFonts w:ascii="Arial" w:hAnsi="Arial" w:cs="Arial"/>
        </w:rPr>
        <w:t>s</w:t>
      </w:r>
      <w:r w:rsidR="000C406D" w:rsidRPr="009E5CFB">
        <w:rPr>
          <w:rFonts w:ascii="Arial" w:hAnsi="Arial" w:cs="Arial"/>
        </w:rPr>
        <w:t xml:space="preserve"> </w:t>
      </w:r>
      <w:r w:rsidR="001E35A2" w:rsidRPr="009E5CFB">
        <w:rPr>
          <w:rFonts w:ascii="Arial" w:hAnsi="Arial" w:cs="Arial"/>
        </w:rPr>
        <w:fldChar w:fldCharType="begin" w:fldLock="1"/>
      </w:r>
      <w:r w:rsidR="001E35A2" w:rsidRPr="009E5CFB">
        <w:rPr>
          <w:rFonts w:ascii="Arial" w:hAnsi="Arial" w:cs="Arial"/>
        </w:rPr>
        <w:instrText>ADDIN CSL_CITATION { "citationItems" : [ { "id" : "ITEM-1", "itemData" : { "DOI" : "10.1038/ctg.2013.13", "ISBN" : "2155-384X (Electronic)", "ISSN" : "2155-384X", "PMID" : "24384867", "abstract" : "Although efficacy and effectiveness studies are both important when evaluating interventions, they serve distinct purposes and have different study designs. Unfortunately, the distinction between these two types of trials is often poorly understood. In this primer, we highlight several differences between these two types of trials including study design, patient populations, intervention design, data analysis, and result reporting.", "author" : [ { "dropping-particle" : "", "family" : "Singal", "given" : "Amit G", "non-dropping-particle" : "", "parse-names" : false, "suffix" : "" }, { "dropping-particle" : "", "family" : "Higgins", "given" : "Peter D R", "non-dropping-particle" : "", "parse-names" : false, "suffix" : "" }, { "dropping-particle" : "", "family" : "Waljee", "given" : "Akbar K", "non-dropping-particle" : "", "parse-names" : false, "suffix" : "" } ], "container-title" : "Clinical and translational gastroenterology", "id" : "ITEM-1", "issue" : "2", "issued" : { "date-parts" : [ [ "2014" ] ] }, "page" : "e45", "publisher" : "Nature Publishing Group", "title" : "A primer on effectiveness and efficacy trials.", "type" : "article-journal", "volume" : "5" }, "uris" : [ "http://www.mendeley.com/documents/?uuid=054145a8-4a34-4362-9314-74dc51ab81a6" ] } ], "mendeley" : { "formattedCitation" : "(Singal, Higgins, &amp; Waljee, 2014)", "plainTextFormattedCitation" : "(Singal, Higgins, &amp; Waljee, 2014)", "previouslyFormattedCitation" : "(Singal, Higgins, &amp; Waljee, 2014)" }, "properties" : { "noteIndex" : 0 }, "schema" : "https://github.com/citation-style-language/schema/raw/master/csl-citation.json" }</w:instrText>
      </w:r>
      <w:r w:rsidR="001E35A2" w:rsidRPr="009E5CFB">
        <w:rPr>
          <w:rFonts w:ascii="Arial" w:hAnsi="Arial" w:cs="Arial"/>
        </w:rPr>
        <w:fldChar w:fldCharType="separate"/>
      </w:r>
      <w:r w:rsidR="001E35A2" w:rsidRPr="009E5CFB">
        <w:rPr>
          <w:rFonts w:ascii="Arial" w:hAnsi="Arial" w:cs="Arial"/>
          <w:noProof/>
        </w:rPr>
        <w:t>(Singal, Higgins, &amp; Waljee, 2014)</w:t>
      </w:r>
      <w:r w:rsidR="001E35A2" w:rsidRPr="009E5CFB">
        <w:rPr>
          <w:rFonts w:ascii="Arial" w:hAnsi="Arial" w:cs="Arial"/>
        </w:rPr>
        <w:fldChar w:fldCharType="end"/>
      </w:r>
      <w:r w:rsidR="000C406D">
        <w:rPr>
          <w:rFonts w:ascii="Arial" w:hAnsi="Arial" w:cs="Arial"/>
        </w:rPr>
        <w:t xml:space="preserve">. </w:t>
      </w:r>
      <w:r w:rsidR="001E35A2" w:rsidRPr="009E5CFB">
        <w:rPr>
          <w:rFonts w:ascii="Arial" w:hAnsi="Arial" w:cs="Arial"/>
        </w:rPr>
        <w:t xml:space="preserve">Dissatisfaction with the linear treatment of scaling has led to calls for a more iterative and adaptive approach (e.g. Linn 2012; </w:t>
      </w:r>
      <w:proofErr w:type="spellStart"/>
      <w:r w:rsidR="001E35A2" w:rsidRPr="009E5CFB">
        <w:rPr>
          <w:rFonts w:ascii="Arial" w:hAnsi="Arial" w:cs="Arial"/>
        </w:rPr>
        <w:t>Fatubi</w:t>
      </w:r>
      <w:proofErr w:type="spellEnd"/>
      <w:r w:rsidR="001E35A2" w:rsidRPr="009E5CFB">
        <w:rPr>
          <w:rFonts w:ascii="Arial" w:hAnsi="Arial" w:cs="Arial"/>
        </w:rPr>
        <w:t xml:space="preserve"> et al. 2015; Hughes et al.</w:t>
      </w:r>
      <w:r w:rsidR="00802C11">
        <w:rPr>
          <w:rFonts w:ascii="Arial" w:hAnsi="Arial" w:cs="Arial"/>
        </w:rPr>
        <w:t>,</w:t>
      </w:r>
      <w:r w:rsidR="001E35A2" w:rsidRPr="009E5CFB">
        <w:rPr>
          <w:rFonts w:ascii="Arial" w:hAnsi="Arial" w:cs="Arial"/>
        </w:rPr>
        <w:t xml:space="preserve"> 2018), as well as the better integration of context-based research into the scaling process itself (Coe et al.</w:t>
      </w:r>
      <w:r w:rsidR="00802C11">
        <w:rPr>
          <w:rFonts w:ascii="Arial" w:hAnsi="Arial" w:cs="Arial"/>
        </w:rPr>
        <w:t>,</w:t>
      </w:r>
      <w:r w:rsidR="001E35A2" w:rsidRPr="009E5CFB">
        <w:rPr>
          <w:rFonts w:ascii="Arial" w:hAnsi="Arial" w:cs="Arial"/>
        </w:rPr>
        <w:t xml:space="preserve"> 2014). </w:t>
      </w:r>
      <w:r w:rsidR="00333ABD">
        <w:rPr>
          <w:rFonts w:ascii="Arial" w:hAnsi="Arial" w:cs="Arial"/>
        </w:rPr>
        <w:t>M</w:t>
      </w:r>
      <w:r w:rsidR="00802C11">
        <w:rPr>
          <w:rFonts w:ascii="Arial" w:hAnsi="Arial" w:cs="Arial"/>
        </w:rPr>
        <w:t xml:space="preserve">any </w:t>
      </w:r>
      <w:r w:rsidR="00333ABD">
        <w:rPr>
          <w:rFonts w:ascii="Arial" w:hAnsi="Arial" w:cs="Arial"/>
        </w:rPr>
        <w:t xml:space="preserve">also </w:t>
      </w:r>
      <w:r w:rsidR="001E35A2" w:rsidRPr="009E5CFB">
        <w:rPr>
          <w:rFonts w:ascii="Arial" w:hAnsi="Arial" w:cs="Arial"/>
        </w:rPr>
        <w:t xml:space="preserve">advocate </w:t>
      </w:r>
      <w:r w:rsidR="00802C11">
        <w:rPr>
          <w:rFonts w:ascii="Arial" w:hAnsi="Arial" w:cs="Arial"/>
        </w:rPr>
        <w:t xml:space="preserve">the incorporation of </w:t>
      </w:r>
      <w:r w:rsidR="00682250">
        <w:rPr>
          <w:rFonts w:ascii="Arial" w:hAnsi="Arial" w:cs="Arial"/>
        </w:rPr>
        <w:t xml:space="preserve">a </w:t>
      </w:r>
      <w:r w:rsidR="001E35A2" w:rsidRPr="009E5CFB">
        <w:rPr>
          <w:rFonts w:ascii="Arial" w:hAnsi="Arial" w:cs="Arial"/>
        </w:rPr>
        <w:t xml:space="preserve">monitoring, evaluation, and learning (MEL) </w:t>
      </w:r>
      <w:r w:rsidR="00682250">
        <w:rPr>
          <w:rFonts w:ascii="Arial" w:hAnsi="Arial" w:cs="Arial"/>
        </w:rPr>
        <w:t xml:space="preserve">component to support adaptive </w:t>
      </w:r>
      <w:r w:rsidR="001E35A2" w:rsidRPr="009E5CFB">
        <w:rPr>
          <w:rFonts w:ascii="Arial" w:hAnsi="Arial" w:cs="Arial"/>
        </w:rPr>
        <w:t xml:space="preserve">management and </w:t>
      </w:r>
      <w:r w:rsidR="00682250">
        <w:rPr>
          <w:rFonts w:ascii="Arial" w:hAnsi="Arial" w:cs="Arial"/>
        </w:rPr>
        <w:t xml:space="preserve">the </w:t>
      </w:r>
      <w:r w:rsidR="001E35A2" w:rsidRPr="009E5CFB">
        <w:rPr>
          <w:rFonts w:ascii="Arial" w:hAnsi="Arial" w:cs="Arial"/>
        </w:rPr>
        <w:t xml:space="preserve">refinement of scaling strategies and even </w:t>
      </w:r>
      <w:r w:rsidR="00682250">
        <w:rPr>
          <w:rFonts w:ascii="Arial" w:hAnsi="Arial" w:cs="Arial"/>
        </w:rPr>
        <w:t xml:space="preserve">of the </w:t>
      </w:r>
      <w:r w:rsidR="001E35A2" w:rsidRPr="009E5CFB">
        <w:rPr>
          <w:rFonts w:ascii="Arial" w:hAnsi="Arial" w:cs="Arial"/>
        </w:rPr>
        <w:t>innovations themselves</w:t>
      </w:r>
      <w:r w:rsidR="008856F1">
        <w:rPr>
          <w:rFonts w:ascii="Arial" w:hAnsi="Arial" w:cs="Arial"/>
        </w:rPr>
        <w:t>.</w:t>
      </w:r>
      <w:r w:rsidR="001E35A2" w:rsidRPr="009E5CFB">
        <w:rPr>
          <w:rFonts w:ascii="Arial" w:hAnsi="Arial" w:cs="Arial"/>
        </w:rPr>
        <w:t xml:space="preserve"> </w:t>
      </w:r>
    </w:p>
    <w:p w14:paraId="57119F7B" w14:textId="77777777" w:rsidR="00802C11" w:rsidRDefault="00802C11" w:rsidP="001E35A2">
      <w:pPr>
        <w:spacing w:after="0" w:line="240" w:lineRule="auto"/>
        <w:jc w:val="both"/>
        <w:rPr>
          <w:rFonts w:ascii="Arial" w:hAnsi="Arial" w:cs="Arial"/>
        </w:rPr>
      </w:pPr>
    </w:p>
    <w:p w14:paraId="229D1ECF" w14:textId="609F46DC" w:rsidR="001E35A2" w:rsidRPr="009E5CFB" w:rsidRDefault="001E35A2" w:rsidP="000A47FF">
      <w:pPr>
        <w:spacing w:after="0" w:line="240" w:lineRule="auto"/>
        <w:jc w:val="both"/>
        <w:rPr>
          <w:rFonts w:ascii="Arial" w:hAnsi="Arial" w:cs="Arial"/>
        </w:rPr>
      </w:pPr>
      <w:r w:rsidRPr="009E5CFB">
        <w:rPr>
          <w:rFonts w:ascii="Arial" w:hAnsi="Arial" w:cs="Arial"/>
        </w:rPr>
        <w:t xml:space="preserve">Figure </w:t>
      </w:r>
      <w:r w:rsidR="000A47FF">
        <w:rPr>
          <w:rFonts w:ascii="Arial" w:hAnsi="Arial" w:cs="Arial"/>
        </w:rPr>
        <w:t>1</w:t>
      </w:r>
      <w:r w:rsidR="006B0659">
        <w:rPr>
          <w:rFonts w:ascii="Arial" w:hAnsi="Arial" w:cs="Arial"/>
        </w:rPr>
        <w:t>[</w:t>
      </w:r>
      <w:r w:rsidR="006B0659" w:rsidRPr="006B0659">
        <w:rPr>
          <w:rFonts w:ascii="Arial" w:hAnsi="Arial" w:cs="Arial"/>
          <w:color w:val="FF0000"/>
        </w:rPr>
        <w:t>need to re-label Figure from 4 to 1</w:t>
      </w:r>
      <w:r w:rsidR="006B0659">
        <w:rPr>
          <w:rFonts w:ascii="Arial" w:hAnsi="Arial" w:cs="Arial"/>
        </w:rPr>
        <w:t>]</w:t>
      </w:r>
      <w:r w:rsidRPr="009E5CFB">
        <w:rPr>
          <w:rFonts w:ascii="Arial" w:hAnsi="Arial" w:cs="Arial"/>
        </w:rPr>
        <w:t xml:space="preserve"> presents </w:t>
      </w:r>
      <w:r w:rsidR="00333ABD">
        <w:rPr>
          <w:rFonts w:ascii="Arial" w:hAnsi="Arial" w:cs="Arial"/>
        </w:rPr>
        <w:t xml:space="preserve">a modified </w:t>
      </w:r>
      <w:r w:rsidRPr="009E5CFB">
        <w:rPr>
          <w:rFonts w:ascii="Arial" w:hAnsi="Arial" w:cs="Arial"/>
        </w:rPr>
        <w:t>Innovation Scaling Framework</w:t>
      </w:r>
      <w:r w:rsidR="00802C11">
        <w:rPr>
          <w:rFonts w:ascii="Arial" w:hAnsi="Arial" w:cs="Arial"/>
        </w:rPr>
        <w:t xml:space="preserve">, which </w:t>
      </w:r>
      <w:r w:rsidR="0018629C">
        <w:rPr>
          <w:rFonts w:ascii="Arial" w:hAnsi="Arial" w:cs="Arial"/>
        </w:rPr>
        <w:t xml:space="preserve">combines </w:t>
      </w:r>
      <w:r w:rsidR="00802C11">
        <w:rPr>
          <w:rFonts w:ascii="Arial" w:hAnsi="Arial" w:cs="Arial"/>
        </w:rPr>
        <w:t xml:space="preserve">both </w:t>
      </w:r>
      <w:r w:rsidR="00890A77">
        <w:rPr>
          <w:rFonts w:ascii="Arial" w:hAnsi="Arial" w:cs="Arial"/>
        </w:rPr>
        <w:t xml:space="preserve">the </w:t>
      </w:r>
      <w:r w:rsidR="00333ABD">
        <w:rPr>
          <w:rFonts w:ascii="Arial" w:hAnsi="Arial" w:cs="Arial"/>
        </w:rPr>
        <w:t xml:space="preserve">value chain and non-linear </w:t>
      </w:r>
      <w:r w:rsidR="00802C11">
        <w:rPr>
          <w:rFonts w:ascii="Arial" w:hAnsi="Arial" w:cs="Arial"/>
        </w:rPr>
        <w:t>approach</w:t>
      </w:r>
      <w:r w:rsidR="00333ABD">
        <w:rPr>
          <w:rFonts w:ascii="Arial" w:hAnsi="Arial" w:cs="Arial"/>
        </w:rPr>
        <w:t>es</w:t>
      </w:r>
      <w:r w:rsidR="00802C11">
        <w:rPr>
          <w:rFonts w:ascii="Arial" w:hAnsi="Arial" w:cs="Arial"/>
        </w:rPr>
        <w:t>. Th</w:t>
      </w:r>
      <w:r w:rsidR="000A47FF">
        <w:rPr>
          <w:rFonts w:ascii="Arial" w:hAnsi="Arial" w:cs="Arial"/>
        </w:rPr>
        <w:t>is</w:t>
      </w:r>
      <w:r w:rsidR="00802C11">
        <w:rPr>
          <w:rFonts w:ascii="Arial" w:hAnsi="Arial" w:cs="Arial"/>
        </w:rPr>
        <w:t xml:space="preserve"> framework </w:t>
      </w:r>
      <w:r w:rsidRPr="009E5CFB">
        <w:rPr>
          <w:rFonts w:ascii="Arial" w:hAnsi="Arial" w:cs="Arial"/>
        </w:rPr>
        <w:t>comprises nine elements, each of which is likely to influence the success of any scaling effort</w:t>
      </w:r>
      <w:r w:rsidR="00802C11">
        <w:rPr>
          <w:rFonts w:ascii="Arial" w:hAnsi="Arial" w:cs="Arial"/>
        </w:rPr>
        <w:t xml:space="preserve"> program, </w:t>
      </w:r>
      <w:r w:rsidRPr="009E5CFB">
        <w:rPr>
          <w:rFonts w:ascii="Arial" w:hAnsi="Arial" w:cs="Arial"/>
        </w:rPr>
        <w:t>albeit to differing degrees depending on the context.</w:t>
      </w:r>
    </w:p>
    <w:p w14:paraId="00B3B109" w14:textId="77777777" w:rsidR="001E35A2" w:rsidRPr="009E5CFB" w:rsidRDefault="001E35A2" w:rsidP="001E35A2">
      <w:pPr>
        <w:spacing w:after="0" w:line="240" w:lineRule="auto"/>
        <w:jc w:val="both"/>
        <w:rPr>
          <w:rFonts w:ascii="Arial" w:hAnsi="Arial" w:cs="Arial"/>
        </w:rPr>
      </w:pPr>
    </w:p>
    <w:p w14:paraId="089B64D7" w14:textId="77777777" w:rsidR="001E35A2" w:rsidRPr="009E5CFB" w:rsidRDefault="001E35A2" w:rsidP="001E35A2">
      <w:pPr>
        <w:rPr>
          <w:rFonts w:ascii="Arial" w:hAnsi="Arial" w:cs="Arial"/>
        </w:rPr>
      </w:pPr>
      <w:r w:rsidRPr="009E5CFB">
        <w:rPr>
          <w:rFonts w:ascii="Arial" w:hAnsi="Arial" w:cs="Arial"/>
          <w:noProof/>
        </w:rPr>
        <w:drawing>
          <wp:inline distT="0" distB="0" distL="0" distR="0" wp14:anchorId="372F25EB" wp14:editId="209B037E">
            <wp:extent cx="6096000" cy="4340307"/>
            <wp:effectExtent l="19050" t="19050" r="19050"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571" cy="4357801"/>
                    </a:xfrm>
                    <a:prstGeom prst="rect">
                      <a:avLst/>
                    </a:prstGeom>
                    <a:noFill/>
                    <a:ln w="12700">
                      <a:solidFill>
                        <a:schemeClr val="tx1"/>
                      </a:solidFill>
                    </a:ln>
                  </pic:spPr>
                </pic:pic>
              </a:graphicData>
            </a:graphic>
          </wp:inline>
        </w:drawing>
      </w:r>
    </w:p>
    <w:p w14:paraId="1F9BB3DD" w14:textId="77777777" w:rsidR="000A47FF" w:rsidRDefault="000A47FF" w:rsidP="001E35A2">
      <w:pPr>
        <w:spacing w:after="0" w:line="240" w:lineRule="auto"/>
        <w:jc w:val="both"/>
        <w:rPr>
          <w:rFonts w:ascii="Arial" w:hAnsi="Arial" w:cs="Arial"/>
        </w:rPr>
      </w:pPr>
    </w:p>
    <w:p w14:paraId="3A464A29" w14:textId="272902D5" w:rsidR="001E35A2" w:rsidRPr="009E5CFB" w:rsidRDefault="00333ABD" w:rsidP="006D3934">
      <w:pPr>
        <w:jc w:val="both"/>
        <w:rPr>
          <w:rFonts w:ascii="Arial" w:hAnsi="Arial" w:cs="Arial"/>
        </w:rPr>
      </w:pPr>
      <w:r>
        <w:rPr>
          <w:rFonts w:ascii="Arial" w:hAnsi="Arial" w:cs="Arial"/>
        </w:rPr>
        <w:br w:type="page"/>
      </w:r>
      <w:r w:rsidR="001E35A2" w:rsidRPr="009E5CFB">
        <w:rPr>
          <w:rFonts w:ascii="Arial" w:hAnsi="Arial" w:cs="Arial"/>
        </w:rPr>
        <w:lastRenderedPageBreak/>
        <w:t xml:space="preserve">Supportive </w:t>
      </w:r>
      <w:r w:rsidR="001E35A2" w:rsidRPr="009E5CFB">
        <w:rPr>
          <w:rFonts w:ascii="Arial" w:hAnsi="Arial" w:cs="Arial"/>
          <w:b/>
        </w:rPr>
        <w:t>policies and institutions</w:t>
      </w:r>
      <w:r w:rsidR="001E35A2" w:rsidRPr="009E5CFB">
        <w:rPr>
          <w:rFonts w:ascii="Arial" w:hAnsi="Arial" w:cs="Arial"/>
        </w:rPr>
        <w:t xml:space="preserve"> are critical </w:t>
      </w:r>
      <w:r>
        <w:rPr>
          <w:rFonts w:ascii="Arial" w:hAnsi="Arial" w:cs="Arial"/>
        </w:rPr>
        <w:t>for successful scaling. F</w:t>
      </w:r>
      <w:r w:rsidR="001E35A2" w:rsidRPr="009E5CFB">
        <w:rPr>
          <w:rFonts w:ascii="Arial" w:hAnsi="Arial" w:cs="Arial"/>
        </w:rPr>
        <w:t xml:space="preserve">armers may be deterred from adopting agricultural technologies as a result </w:t>
      </w:r>
      <w:r>
        <w:rPr>
          <w:rFonts w:ascii="Arial" w:hAnsi="Arial" w:cs="Arial"/>
        </w:rPr>
        <w:t xml:space="preserve">of </w:t>
      </w:r>
      <w:r w:rsidR="001E35A2" w:rsidRPr="009E5CFB">
        <w:rPr>
          <w:rFonts w:ascii="Arial" w:hAnsi="Arial" w:cs="Arial"/>
        </w:rPr>
        <w:t>price regulation, cumbersome regulatory requirements, unequitable subsidy regimes, and monopolies in processing and trading</w:t>
      </w:r>
      <w:r w:rsidRPr="00333ABD">
        <w:rPr>
          <w:rFonts w:ascii="Arial" w:hAnsi="Arial" w:cs="Arial"/>
        </w:rPr>
        <w:t xml:space="preserve"> </w:t>
      </w:r>
      <w:r>
        <w:rPr>
          <w:rFonts w:ascii="Arial" w:hAnsi="Arial" w:cs="Arial"/>
        </w:rPr>
        <w:t>(</w:t>
      </w:r>
      <w:r w:rsidRPr="009E5CFB">
        <w:rPr>
          <w:rFonts w:ascii="Arial" w:hAnsi="Arial" w:cs="Arial"/>
        </w:rPr>
        <w:t>Tunde et al</w:t>
      </w:r>
      <w:r>
        <w:rPr>
          <w:rFonts w:ascii="Arial" w:hAnsi="Arial" w:cs="Arial"/>
        </w:rPr>
        <w:t xml:space="preserve">, </w:t>
      </w:r>
      <w:r w:rsidRPr="009E5CFB">
        <w:rPr>
          <w:rFonts w:ascii="Arial" w:hAnsi="Arial" w:cs="Arial"/>
        </w:rPr>
        <w:t>2018)</w:t>
      </w:r>
      <w:r w:rsidR="001E35A2" w:rsidRPr="009E5CFB">
        <w:rPr>
          <w:rFonts w:ascii="Arial" w:hAnsi="Arial" w:cs="Arial"/>
        </w:rPr>
        <w:t xml:space="preserve">. Policy analysis and engagement with policy actors—coupled with capacity development—is therefore often critical </w:t>
      </w:r>
      <w:r>
        <w:rPr>
          <w:rFonts w:ascii="Arial" w:hAnsi="Arial" w:cs="Arial"/>
        </w:rPr>
        <w:t xml:space="preserve">for </w:t>
      </w:r>
      <w:r w:rsidR="001E35A2" w:rsidRPr="009E5CFB">
        <w:rPr>
          <w:rFonts w:ascii="Arial" w:hAnsi="Arial" w:cs="Arial"/>
        </w:rPr>
        <w:t>success</w:t>
      </w:r>
      <w:r>
        <w:rPr>
          <w:rFonts w:ascii="Arial" w:hAnsi="Arial" w:cs="Arial"/>
        </w:rPr>
        <w:t>ful scaling</w:t>
      </w:r>
      <w:r w:rsidR="001E35A2" w:rsidRPr="009E5CFB">
        <w:rPr>
          <w:rFonts w:ascii="Arial" w:hAnsi="Arial" w:cs="Arial"/>
        </w:rPr>
        <w:t xml:space="preserve"> (Westermann et al</w:t>
      </w:r>
      <w:r>
        <w:rPr>
          <w:rFonts w:ascii="Arial" w:hAnsi="Arial" w:cs="Arial"/>
        </w:rPr>
        <w:t>.,</w:t>
      </w:r>
      <w:r w:rsidR="001E35A2" w:rsidRPr="009E5CFB">
        <w:rPr>
          <w:rFonts w:ascii="Arial" w:hAnsi="Arial" w:cs="Arial"/>
        </w:rPr>
        <w:t xml:space="preserve"> 2018). </w:t>
      </w:r>
      <w:r>
        <w:rPr>
          <w:rFonts w:ascii="Arial" w:hAnsi="Arial" w:cs="Arial"/>
        </w:rPr>
        <w:t xml:space="preserve">Similarly, </w:t>
      </w:r>
      <w:r w:rsidR="001E35A2" w:rsidRPr="009E5CFB">
        <w:rPr>
          <w:rFonts w:ascii="Arial" w:hAnsi="Arial" w:cs="Arial"/>
        </w:rPr>
        <w:t xml:space="preserve">effective </w:t>
      </w:r>
      <w:r w:rsidR="001E35A2" w:rsidRPr="009E5CFB">
        <w:rPr>
          <w:rFonts w:ascii="Arial" w:hAnsi="Arial" w:cs="Arial"/>
          <w:b/>
        </w:rPr>
        <w:t>coordination among value chain actors</w:t>
      </w:r>
      <w:r w:rsidR="001E35A2" w:rsidRPr="009E5CFB">
        <w:rPr>
          <w:rFonts w:ascii="Arial" w:hAnsi="Arial" w:cs="Arial"/>
        </w:rPr>
        <w:t xml:space="preserve"> is important, particularly </w:t>
      </w:r>
      <w:r w:rsidR="00154578">
        <w:rPr>
          <w:rFonts w:ascii="Arial" w:hAnsi="Arial" w:cs="Arial"/>
        </w:rPr>
        <w:t xml:space="preserve">when </w:t>
      </w:r>
      <w:r w:rsidR="001E35A2" w:rsidRPr="009E5CFB">
        <w:rPr>
          <w:rFonts w:ascii="Arial" w:hAnsi="Arial" w:cs="Arial"/>
        </w:rPr>
        <w:t xml:space="preserve">challenges </w:t>
      </w:r>
      <w:r w:rsidR="00B403F9">
        <w:rPr>
          <w:rFonts w:ascii="Arial" w:hAnsi="Arial" w:cs="Arial"/>
        </w:rPr>
        <w:t xml:space="preserve">are complex and </w:t>
      </w:r>
      <w:r w:rsidR="001E35A2" w:rsidRPr="009E5CFB">
        <w:rPr>
          <w:rFonts w:ascii="Arial" w:hAnsi="Arial" w:cs="Arial"/>
        </w:rPr>
        <w:t>require cooperation among stakeholder groups (Orr</w:t>
      </w:r>
      <w:r w:rsidR="008B760A">
        <w:rPr>
          <w:rFonts w:ascii="Arial" w:hAnsi="Arial" w:cs="Arial"/>
        </w:rPr>
        <w:t>,</w:t>
      </w:r>
      <w:r w:rsidR="001E35A2" w:rsidRPr="009E5CFB">
        <w:rPr>
          <w:rFonts w:ascii="Arial" w:hAnsi="Arial" w:cs="Arial"/>
        </w:rPr>
        <w:t xml:space="preserve"> 2018). Indeed, there is a burgeoning interest in the role </w:t>
      </w:r>
      <w:r w:rsidR="00154578">
        <w:rPr>
          <w:rFonts w:ascii="Arial" w:hAnsi="Arial" w:cs="Arial"/>
        </w:rPr>
        <w:t xml:space="preserve">of </w:t>
      </w:r>
      <w:r w:rsidR="001E35A2" w:rsidRPr="009E5CFB">
        <w:rPr>
          <w:rFonts w:ascii="Arial" w:hAnsi="Arial" w:cs="Arial"/>
        </w:rPr>
        <w:t>multi-stakeholder collaboration</w:t>
      </w:r>
      <w:r w:rsidR="00154578" w:rsidRPr="009E5CFB">
        <w:rPr>
          <w:rFonts w:ascii="Arial" w:hAnsi="Arial" w:cs="Arial"/>
        </w:rPr>
        <w:t xml:space="preserve"> in strengthening agricultural value chains</w:t>
      </w:r>
      <w:r w:rsidR="001E35A2" w:rsidRPr="009E5CFB">
        <w:rPr>
          <w:rFonts w:ascii="Arial" w:hAnsi="Arial" w:cs="Arial"/>
        </w:rPr>
        <w:t>, e.g. via innovation platforms</w:t>
      </w:r>
      <w:r w:rsidR="00154578">
        <w:rPr>
          <w:rFonts w:ascii="Arial" w:hAnsi="Arial" w:cs="Arial"/>
        </w:rPr>
        <w:t xml:space="preserve"> </w:t>
      </w:r>
      <w:r w:rsidR="001E35A2" w:rsidRPr="009E5CFB">
        <w:rPr>
          <w:rFonts w:ascii="Arial" w:hAnsi="Arial" w:cs="Arial"/>
        </w:rPr>
        <w:fldChar w:fldCharType="begin" w:fldLock="1"/>
      </w:r>
      <w:r w:rsidR="001E35A2" w:rsidRPr="009E5CFB">
        <w:rPr>
          <w:rFonts w:ascii="Arial" w:hAnsi="Arial" w:cs="Arial"/>
        </w:rPr>
        <w:instrText>ADDIN CSL_CITATION { "citationItems" : [ { "id" : "ITEM-1", "itemData" : { "DOI" : "10.1108/JADEE-06-2017-0065", "author" : [ { "dropping-particle" : "", "family" : "Devaux", "given" : "Andre", "non-dropping-particle" : "", "parse-names" : false, "suffix" : "" }, { "dropping-particle" : "", "family" : "Torero", "given" : "Maximo", "non-dropping-particle" : "", "parse-names" : false, "suffix" : "" }, { "dropping-particle" : "", "family" : "Horton", "given" : "Douglas", "non-dropping-particle" : "", "parse-names" : false, "suffix" : "" } ], "id" : "ITEM-1", "issue" : "1", "issued" : { "date-parts" : [ [ "2018" ] ] }, "page" : "99-123", "title" : "Agricultural innovation and inclusive value-chain development : a review", "type" : "article-journal", "volume" : "8" }, "uris" : [ "http://www.mendeley.com/documents/?uuid=142b2feb-e12d-4db3-8ff9-c82641d69467" ] } ], "mendeley" : { "formattedCitation" : "(Devaux, Torero, &amp; Horton, 2018)", "plainTextFormattedCitation" : "(Devaux, Torero, &amp; Horton, 2018)", "previouslyFormattedCitation" : "(Devaux, Torero, &amp; Horton, 2018)" }, "properties" : { "noteIndex" : 0 }, "schema" : "https://github.com/citation-style-language/schema/raw/master/csl-citation.json" }</w:instrText>
      </w:r>
      <w:r w:rsidR="001E35A2" w:rsidRPr="009E5CFB">
        <w:rPr>
          <w:rFonts w:ascii="Arial" w:hAnsi="Arial" w:cs="Arial"/>
        </w:rPr>
        <w:fldChar w:fldCharType="separate"/>
      </w:r>
      <w:r w:rsidR="001E35A2" w:rsidRPr="009E5CFB">
        <w:rPr>
          <w:rFonts w:ascii="Arial" w:hAnsi="Arial" w:cs="Arial"/>
          <w:noProof/>
        </w:rPr>
        <w:t>(Devaux, Torero, &amp; Horton, 2018)</w:t>
      </w:r>
      <w:r w:rsidR="001E35A2" w:rsidRPr="009E5CFB">
        <w:rPr>
          <w:rFonts w:ascii="Arial" w:hAnsi="Arial" w:cs="Arial"/>
        </w:rPr>
        <w:fldChar w:fldCharType="end"/>
      </w:r>
      <w:r w:rsidR="001E35A2" w:rsidRPr="009E5CFB">
        <w:rPr>
          <w:rFonts w:ascii="Arial" w:hAnsi="Arial" w:cs="Arial"/>
        </w:rPr>
        <w:t xml:space="preserve">.   </w:t>
      </w:r>
    </w:p>
    <w:p w14:paraId="409F5FD6" w14:textId="32F01DBA" w:rsidR="008B4CB3" w:rsidRDefault="00461378" w:rsidP="001E35A2">
      <w:pPr>
        <w:spacing w:after="0" w:line="240" w:lineRule="auto"/>
        <w:jc w:val="both"/>
        <w:rPr>
          <w:rFonts w:ascii="Arial" w:hAnsi="Arial" w:cs="Arial"/>
          <w:bCs/>
        </w:rPr>
      </w:pPr>
      <w:r>
        <w:rPr>
          <w:rFonts w:ascii="Arial" w:hAnsi="Arial" w:cs="Arial"/>
        </w:rPr>
        <w:t xml:space="preserve">Although </w:t>
      </w:r>
      <w:proofErr w:type="spellStart"/>
      <w:r w:rsidRPr="009E5CFB">
        <w:rPr>
          <w:rFonts w:ascii="Arial" w:hAnsi="Arial" w:cs="Arial"/>
        </w:rPr>
        <w:t>Wigboldus</w:t>
      </w:r>
      <w:proofErr w:type="spellEnd"/>
      <w:r w:rsidRPr="009E5CFB">
        <w:rPr>
          <w:rFonts w:ascii="Arial" w:hAnsi="Arial" w:cs="Arial"/>
        </w:rPr>
        <w:t xml:space="preserve"> et al. (2016) </w:t>
      </w:r>
      <w:r>
        <w:rPr>
          <w:rFonts w:ascii="Arial" w:hAnsi="Arial" w:cs="Arial"/>
        </w:rPr>
        <w:t xml:space="preserve">correctly </w:t>
      </w:r>
      <w:r w:rsidRPr="009E5CFB">
        <w:rPr>
          <w:rFonts w:ascii="Arial" w:hAnsi="Arial" w:cs="Arial"/>
        </w:rPr>
        <w:t xml:space="preserve">highlight </w:t>
      </w:r>
      <w:r>
        <w:rPr>
          <w:rFonts w:ascii="Arial" w:hAnsi="Arial" w:cs="Arial"/>
        </w:rPr>
        <w:t xml:space="preserve">the limitations of focusing exclusively on the </w:t>
      </w:r>
      <w:r w:rsidRPr="009E5CFB">
        <w:rPr>
          <w:rFonts w:ascii="Arial" w:hAnsi="Arial" w:cs="Arial"/>
        </w:rPr>
        <w:t>farm level</w:t>
      </w:r>
      <w:r>
        <w:rPr>
          <w:rFonts w:ascii="Arial" w:hAnsi="Arial" w:cs="Arial"/>
        </w:rPr>
        <w:t xml:space="preserve">, nevertheless </w:t>
      </w:r>
      <w:r w:rsidRPr="009E5CFB">
        <w:rPr>
          <w:rFonts w:ascii="Arial" w:hAnsi="Arial" w:cs="Arial"/>
          <w:b/>
        </w:rPr>
        <w:t>farmer preferences</w:t>
      </w:r>
      <w:r w:rsidRPr="009E5CFB">
        <w:rPr>
          <w:rFonts w:ascii="Arial" w:hAnsi="Arial" w:cs="Arial"/>
        </w:rPr>
        <w:t xml:space="preserve"> </w:t>
      </w:r>
      <w:r>
        <w:rPr>
          <w:rFonts w:ascii="Arial" w:hAnsi="Arial" w:cs="Arial"/>
        </w:rPr>
        <w:t>remain critical. I</w:t>
      </w:r>
      <w:r w:rsidR="001E35A2" w:rsidRPr="009E5CFB">
        <w:rPr>
          <w:rFonts w:ascii="Arial" w:hAnsi="Arial" w:cs="Arial"/>
        </w:rPr>
        <w:t>nnovation</w:t>
      </w:r>
      <w:r>
        <w:rPr>
          <w:rFonts w:ascii="Arial" w:hAnsi="Arial" w:cs="Arial"/>
        </w:rPr>
        <w:t>s</w:t>
      </w:r>
      <w:r w:rsidR="001E35A2" w:rsidRPr="009E5CFB">
        <w:rPr>
          <w:rFonts w:ascii="Arial" w:hAnsi="Arial" w:cs="Arial"/>
        </w:rPr>
        <w:t xml:space="preserve"> must </w:t>
      </w:r>
      <w:r>
        <w:rPr>
          <w:rFonts w:ascii="Arial" w:hAnsi="Arial" w:cs="Arial"/>
        </w:rPr>
        <w:t xml:space="preserve">have a decisive advantage over existing technology. They must also </w:t>
      </w:r>
      <w:r w:rsidR="001E35A2" w:rsidRPr="009E5CFB">
        <w:rPr>
          <w:rFonts w:ascii="Arial" w:hAnsi="Arial" w:cs="Arial"/>
        </w:rPr>
        <w:t xml:space="preserve">fit within the overall farming system </w:t>
      </w:r>
      <w:r w:rsidR="001E35A2" w:rsidRPr="009E5CFB">
        <w:rPr>
          <w:rFonts w:ascii="Arial" w:hAnsi="Arial" w:cs="Arial"/>
        </w:rPr>
        <w:fldChar w:fldCharType="begin" w:fldLock="1"/>
      </w:r>
      <w:r w:rsidR="001E35A2" w:rsidRPr="009E5CFB">
        <w:rPr>
          <w:rFonts w:ascii="Arial" w:hAnsi="Arial" w:cs="Arial"/>
        </w:rPr>
        <w:instrText>ADDIN CSL_CITATION { "citationItems" : [ { "id" : "ITEM-1", "itemData" : { "DOI" : "10.1080/13892240903309595", "ISSN" : "1389-224X", "abstract" : "Abstract The article provides a conceptual framework and discusses research methods for analyzing pluralistic agricultural advisory services. The framework can also assist policy-makers in identifying reform options. It addresses the following question: Which forms of providing and financing agricultural advisory services work best in which situation? The framework ?disentangles? agricultural advisory services by distinguishing between (1) governance structures, (2) capacity, (3) management, and (4) advisory methods. The framework suggests an impact chain approach to analyze the performance and impact of agricultural advisory services and discusses theoretical and empirical research methods that can be used when applying the framework. The framework shows that reforms of agricultural advisory services can combine different reform elements?such as decentralization, contracting out, using new advisory methods, and changing the management style?in different ways so as to best fit local circumstances. Using a New Institutional Economics approach (transaction costs approach), the article shows that the following sets of contextual factors need to be considered in this regard: the policy environment; the capacity of potential service providers; the type of production systems and market access of farm households; and the characteristics of local communities. The framework can be used to develop assessment tools for agricultural advisory services, to inform processes of reforming of agricultural advisory services and to guide inter-disciplinary research. The framework is unique in combining the insights from different disciplines, which have, so far, been treated separately in the literature. The framework can help policy-makers and analysts to move from ?ideological? discussions on reform models to an evidence-based ?best fit? approach.", "author" : [ { "dropping-particle" : "", "family" : "Birner", "given" : "Regina", "non-dropping-particle" : "", "parse-names" : false, "suffix" : "" }, { "dropping-particle" : "", "family" : "Davis", "given" : "Kristin", "non-dropping-particle" : "", "parse-names" : false, "suffix" : "" }, { "dropping-particle" : "", "family" : "Pender", "given" : "John", "non-dropping-particle" : "", "parse-names" : false, "suffix" : "" }, { "dropping-particle" : "", "family" : "Nkonya", "given" : "Ephraim", "non-dropping-particle" : "", "parse-names" : false, "suffix" : "" }, { "dropping-particle" : "", "family" : "Anandajayasekeram", "given" : "Ponniah", "non-dropping-particle" : "", "parse-names" : false, "suffix" : "" }, { "dropping-particle" : "", "family" : "Ekboir", "given" : "Javier", "non-dropping-particle" : "", "parse-names" : false, "suffix" : "" }, { "dropping-particle" : "", "family" : "Mbabu", "given" : "Adiel", "non-dropping-particle" : "", "parse-names" : false, "suffix" : "" }, { "dropping-particle" : "", "family" : "Spielman", "given" : "David J", "non-dropping-particle" : "", "parse-names" : false, "suffix" : "" }, { "dropping-particle" : "", "family" : "Horna", "given" : "Daniela", "non-dropping-particle" : "", "parse-names" : false, "suffix" : "" }, { "dropping-particle" : "", "family" : "Benin", "given" : "Samuel", "non-dropping-particle" : "", "parse-names" : false, "suffix" : "" }, { "dropping-particle" : "", "family" : "Cohen", "given" : "Marc", "non-dropping-particle" : "", "parse-names" : false, "suffix" : "" } ], "container-title" : "The Journal of Agricultural Education and Extension", "id" : "ITEM-1", "issue" : "4", "issued" : { "date-parts" : [ [ "2009", "12", "1" ] ] }, "note" : "doi: 10.1080/13892240903309595", "page" : "341-355", "publisher" : "Routledge", "title" : "From Best Practice to Best Fit: A Framework for Designing and Analyzing Pluralistic Agricultural Advisory Services Worldwide", "type" : "article-journal", "volume" : "15" }, "uris" : [ "http://www.mendeley.com/documents/?uuid=aa864fb4-d6dc-4185-ac71-e449f292a22a" ] } ], "mendeley" : { "formattedCitation" : "(Birner et al., 2009)", "plainTextFormattedCitation" : "(Birner et al., 2009)", "previouslyFormattedCitation" : "(Birner et al., 2009)" }, "properties" : { "noteIndex" : 0 }, "schema" : "https://github.com/citation-style-language/schema/raw/master/csl-citation.json" }</w:instrText>
      </w:r>
      <w:r w:rsidR="001E35A2" w:rsidRPr="009E5CFB">
        <w:rPr>
          <w:rFonts w:ascii="Arial" w:hAnsi="Arial" w:cs="Arial"/>
        </w:rPr>
        <w:fldChar w:fldCharType="separate"/>
      </w:r>
      <w:r w:rsidR="001E35A2" w:rsidRPr="009E5CFB">
        <w:rPr>
          <w:rFonts w:ascii="Arial" w:hAnsi="Arial" w:cs="Arial"/>
          <w:noProof/>
        </w:rPr>
        <w:t>(Birner et al., 2009)</w:t>
      </w:r>
      <w:r w:rsidR="001E35A2" w:rsidRPr="009E5CFB">
        <w:rPr>
          <w:rFonts w:ascii="Arial" w:hAnsi="Arial" w:cs="Arial"/>
        </w:rPr>
        <w:fldChar w:fldCharType="end"/>
      </w:r>
      <w:r w:rsidR="001E35A2" w:rsidRPr="009E5CFB">
        <w:rPr>
          <w:rFonts w:ascii="Arial" w:hAnsi="Arial" w:cs="Arial"/>
        </w:rPr>
        <w:t xml:space="preserve"> and be consistent with the farmer’s risk preferences </w:t>
      </w:r>
      <w:r w:rsidR="001E35A2" w:rsidRPr="009E5CFB">
        <w:rPr>
          <w:rFonts w:ascii="Arial" w:hAnsi="Arial" w:cs="Arial"/>
        </w:rPr>
        <w:fldChar w:fldCharType="begin" w:fldLock="1"/>
      </w:r>
      <w:r w:rsidR="001E35A2" w:rsidRPr="009E5CFB">
        <w:rPr>
          <w:rFonts w:ascii="Arial" w:hAnsi="Arial" w:cs="Arial"/>
        </w:rPr>
        <w:instrText>ADDIN CSL_CITATION { "citationItems" : [ { "id" : "ITEM-1", "itemData" : { "ISSN" : "00029092, 14678276", "abstract" : "[We propose a theoretical framework to analyze the conditions under which a farmer facing production uncertainty (due to a possible water shortage) and incomplete information will adopt a more efficient irrigation technology. A reduced form of this model is empirically estimated using a sample of 265 farms located in Crete, Greece. The empirical results suggest that farmers choose to adopt the new technology in order to hedge against production risk. In addition, we show that the farmer's human capital also plays a significant role in the decision to adopt modern, more efficient irrigation equipment.]", "author" : [ { "dropping-particle" : "", "family" : "Koundouri", "given" : "Phoebe", "non-dropping-particle" : "", "parse-names" : false, "suffix" : "" }, { "dropping-particle" : "", "family" : "Nauges", "given" : "C\u00e9line", "non-dropping-particle" : "", "parse-names" : false, "suffix" : "" }, { "dropping-particle" : "", "family" : "Tzouvelekas", "given" : "Vangelis", "non-dropping-particle" : "", "parse-names" : false, "suffix" : "" } ], "container-title" : "American Journal of Agricultural Economics", "id" : "ITEM-1", "issue" : "3", "issued" : { "date-parts" : [ [ "2006" ] ] }, "page" : "657-670", "publisher" : "[Agricultural &amp; Applied Economics Association, Oxford University Press]", "title" : "Technology Adoption under Production Uncertainty: Theory and Application to Irrigation Technology", "type" : "article-journal", "volume" : "88" }, "uris" : [ "http://www.mendeley.com/documents/?uuid=9228533c-9e87-4f91-abff-fbf712eb213b" ] } ], "mendeley" : { "formattedCitation" : "(Koundouri, Nauges, &amp; Tzouvelekas, 2006)", "plainTextFormattedCitation" : "(Koundouri, Nauges, &amp; Tzouvelekas, 2006)", "previouslyFormattedCitation" : "(Koundouri, Nauges, &amp; Tzouvelekas, 2006)" }, "properties" : { "noteIndex" : 0 }, "schema" : "https://github.com/citation-style-language/schema/raw/master/csl-citation.json" }</w:instrText>
      </w:r>
      <w:r w:rsidR="001E35A2" w:rsidRPr="009E5CFB">
        <w:rPr>
          <w:rFonts w:ascii="Arial" w:hAnsi="Arial" w:cs="Arial"/>
        </w:rPr>
        <w:fldChar w:fldCharType="separate"/>
      </w:r>
      <w:r w:rsidR="001E35A2" w:rsidRPr="009E5CFB">
        <w:rPr>
          <w:rFonts w:ascii="Arial" w:hAnsi="Arial" w:cs="Arial"/>
          <w:noProof/>
        </w:rPr>
        <w:t>(Koundouri, Nauges, &amp; Tzouvelekas, 2006)</w:t>
      </w:r>
      <w:r w:rsidR="001E35A2" w:rsidRPr="009E5CFB">
        <w:rPr>
          <w:rFonts w:ascii="Arial" w:hAnsi="Arial" w:cs="Arial"/>
        </w:rPr>
        <w:fldChar w:fldCharType="end"/>
      </w:r>
      <w:r w:rsidR="001E35A2" w:rsidRPr="009E5CFB">
        <w:rPr>
          <w:rFonts w:ascii="Arial" w:hAnsi="Arial" w:cs="Arial"/>
        </w:rPr>
        <w:t xml:space="preserve">. </w:t>
      </w:r>
      <w:r w:rsidR="00472760">
        <w:rPr>
          <w:rFonts w:ascii="Arial" w:hAnsi="Arial" w:cs="Arial"/>
        </w:rPr>
        <w:t>F</w:t>
      </w:r>
      <w:r w:rsidR="001E35A2" w:rsidRPr="009E5CFB">
        <w:rPr>
          <w:rFonts w:ascii="Arial" w:hAnsi="Arial" w:cs="Arial"/>
        </w:rPr>
        <w:t xml:space="preserve">armer preference </w:t>
      </w:r>
      <w:r>
        <w:rPr>
          <w:rFonts w:ascii="Arial" w:hAnsi="Arial" w:cs="Arial"/>
        </w:rPr>
        <w:t xml:space="preserve">are </w:t>
      </w:r>
      <w:r w:rsidR="001E35A2" w:rsidRPr="009E5CFB">
        <w:rPr>
          <w:rFonts w:ascii="Arial" w:hAnsi="Arial" w:cs="Arial"/>
        </w:rPr>
        <w:t xml:space="preserve">shaped by </w:t>
      </w:r>
      <w:r>
        <w:rPr>
          <w:rFonts w:ascii="Arial" w:hAnsi="Arial" w:cs="Arial"/>
        </w:rPr>
        <w:t xml:space="preserve">several </w:t>
      </w:r>
      <w:r w:rsidR="001E35A2" w:rsidRPr="009E5CFB">
        <w:rPr>
          <w:rFonts w:ascii="Arial" w:hAnsi="Arial" w:cs="Arial"/>
        </w:rPr>
        <w:t xml:space="preserve">factors, </w:t>
      </w:r>
      <w:r>
        <w:rPr>
          <w:rFonts w:ascii="Arial" w:hAnsi="Arial" w:cs="Arial"/>
        </w:rPr>
        <w:t xml:space="preserve">including </w:t>
      </w:r>
      <w:r w:rsidR="001E35A2" w:rsidRPr="009E5CFB">
        <w:rPr>
          <w:rFonts w:ascii="Arial" w:hAnsi="Arial" w:cs="Arial"/>
          <w:b/>
        </w:rPr>
        <w:t>awareness</w:t>
      </w:r>
      <w:r w:rsidR="001E35A2" w:rsidRPr="009E5CFB">
        <w:rPr>
          <w:rFonts w:ascii="Arial" w:hAnsi="Arial" w:cs="Arial"/>
        </w:rPr>
        <w:t xml:space="preserve"> of the innovation and its potential benefits and </w:t>
      </w:r>
      <w:r>
        <w:rPr>
          <w:rFonts w:ascii="Arial" w:hAnsi="Arial" w:cs="Arial"/>
        </w:rPr>
        <w:t xml:space="preserve">the </w:t>
      </w:r>
      <w:r w:rsidR="001E35A2" w:rsidRPr="009E5CFB">
        <w:rPr>
          <w:rFonts w:ascii="Arial" w:hAnsi="Arial" w:cs="Arial"/>
          <w:b/>
        </w:rPr>
        <w:t>ability</w:t>
      </w:r>
      <w:r w:rsidR="001E35A2" w:rsidRPr="009E5CFB">
        <w:rPr>
          <w:rFonts w:ascii="Arial" w:hAnsi="Arial" w:cs="Arial"/>
        </w:rPr>
        <w:t xml:space="preserve"> to apply </w:t>
      </w:r>
      <w:r>
        <w:rPr>
          <w:rFonts w:ascii="Arial" w:hAnsi="Arial" w:cs="Arial"/>
        </w:rPr>
        <w:t xml:space="preserve">the innovation effectively </w:t>
      </w:r>
      <w:r w:rsidR="001E35A2" w:rsidRPr="009E5CFB">
        <w:rPr>
          <w:rFonts w:ascii="Arial" w:hAnsi="Arial" w:cs="Arial"/>
        </w:rPr>
        <w:fldChar w:fldCharType="begin" w:fldLock="1"/>
      </w:r>
      <w:r w:rsidR="001E35A2" w:rsidRPr="009E5CFB">
        <w:rPr>
          <w:rFonts w:ascii="Arial" w:hAnsi="Arial" w:cs="Arial"/>
        </w:rPr>
        <w:instrText>ADDIN CSL_CITATION { "citationItems" : [ { "id" : "ITEM-1", "itemData" : { "DOI" : "10.1086/703868", "ISSN" : "0013-0079", "author" : [ { "dropping-particle" : "Van", "family" : "Campenhout", "given" : "Bjorn", "non-dropping-particle" : "", "parse-names" : false, "suffix" : "" } ], "container-title" : "Economic Development and Cultural Change", "id" : "ITEM-1", "issued" : { "date-parts" : [ [ "2019", "4", "10" ] ] }, "note" : "doi: 10.1086/703868", "publisher" : "The University of Chicago Press", "title" : "The Role of Information in Agricultural Technology Adoption: Experimental Evidence from Rice Farmers in Uganda", "type" : "article-journal" }, "uris" : [ "http://www.mendeley.com/documents/?uuid=d878f244-4e4a-440b-8b22-72734e6d9eb4" ] }, { "id" : "ITEM-2", "itemData" : { "author" : [ { "dropping-particle" : "", "family" : "Janvry", "given" : "A.", "non-dropping-particle" : "de", "parse-names" : false, "suffix" : "" }, { "dropping-particle" : "", "family" : "Sadoulet", "given" : "E.", "non-dropping-particle" : "", "parse-names" : false, "suffix" : "" }, { "dropping-particle" : "", "family" : "Rao", "given" : "M.", "non-dropping-particle" : "", "parse-names" : false, "suffix" : "" } ], "chapter-number" : "Adjusting", "container-title" : "Learning for Adoption: Technology Adoption in Developing Country Agriculture.", "editor" : [ { "dropping-particle" : "", "family" : "Janvry", "given" : "A.", "non-dropping-particle" : "de", "parse-names" : false, "suffix" : "" }, { "dropping-particle" : "", "family" : "Macours", "given" : "K.", "non-dropping-particle" : "", "parse-names" : false, "suffix" : "" }, { "dropping-particle" : "", "family" : "Sadoulet", "given" : "E.", "non-dropping-particle" : "", "parse-names" : false, "suffix" : "" } ], "id" : "ITEM-2", "issued" : { "date-parts" : [ [ "2016" ] ] }, "publisher" : "Ferdi and SPIA", "publisher-place" : "Clermont-Ferrand", "title" : "Adjusting extension models to the way farmers learn", "type" : "chapter" }, "uris" : [ "http://www.mendeley.com/documents/?uuid=e334d511-9983-4984-8caa-570f276416b8" ] } ], "mendeley" : { "formattedCitation" : "(Campenhout, 2019; de Janvry, Sadoulet, &amp; Rao, 2016)", "plainTextFormattedCitation" : "(Campenhout, 2019; de Janvry, Sadoulet, &amp; Rao, 2016)", "previouslyFormattedCitation" : "(Campenhout, 2019)" }, "properties" : { "noteIndex" : 0 }, "schema" : "https://github.com/citation-style-language/schema/raw/master/csl-citation.json" }</w:instrText>
      </w:r>
      <w:r w:rsidR="001E35A2" w:rsidRPr="009E5CFB">
        <w:rPr>
          <w:rFonts w:ascii="Arial" w:hAnsi="Arial" w:cs="Arial"/>
        </w:rPr>
        <w:fldChar w:fldCharType="separate"/>
      </w:r>
      <w:r w:rsidR="001E35A2" w:rsidRPr="009E5CFB">
        <w:rPr>
          <w:rFonts w:ascii="Arial" w:hAnsi="Arial" w:cs="Arial"/>
          <w:noProof/>
        </w:rPr>
        <w:t>(Campenhout, 2019; de Janvry, Sadoulet, &amp; Rao, 2016)</w:t>
      </w:r>
      <w:r w:rsidR="001E35A2" w:rsidRPr="009E5CFB">
        <w:rPr>
          <w:rFonts w:ascii="Arial" w:hAnsi="Arial" w:cs="Arial"/>
        </w:rPr>
        <w:fldChar w:fldCharType="end"/>
      </w:r>
      <w:r w:rsidR="001E35A2" w:rsidRPr="009E5CFB">
        <w:rPr>
          <w:rFonts w:ascii="Arial" w:hAnsi="Arial" w:cs="Arial"/>
        </w:rPr>
        <w:t xml:space="preserve">. </w:t>
      </w:r>
      <w:r>
        <w:rPr>
          <w:rFonts w:ascii="Arial" w:hAnsi="Arial" w:cs="Arial"/>
        </w:rPr>
        <w:t xml:space="preserve">These in turn are </w:t>
      </w:r>
      <w:r w:rsidR="001E35A2" w:rsidRPr="009E5CFB">
        <w:rPr>
          <w:rFonts w:ascii="Arial" w:hAnsi="Arial" w:cs="Arial"/>
        </w:rPr>
        <w:t xml:space="preserve">correlated with </w:t>
      </w:r>
      <w:r w:rsidR="001E35A2" w:rsidRPr="009E5CFB">
        <w:rPr>
          <w:rFonts w:ascii="Arial" w:hAnsi="Arial" w:cs="Arial"/>
          <w:b/>
        </w:rPr>
        <w:t>accessib</w:t>
      </w:r>
      <w:r>
        <w:rPr>
          <w:rFonts w:ascii="Arial" w:hAnsi="Arial" w:cs="Arial"/>
          <w:b/>
        </w:rPr>
        <w:t>ility</w:t>
      </w:r>
      <w:r w:rsidR="001E35A2" w:rsidRPr="009E5CFB">
        <w:rPr>
          <w:rFonts w:ascii="Arial" w:hAnsi="Arial" w:cs="Arial"/>
        </w:rPr>
        <w:t xml:space="preserve"> to extension and information delivery services, participation in relevant social networks (Meijer et al., 2015)</w:t>
      </w:r>
      <w:r>
        <w:rPr>
          <w:rFonts w:ascii="Arial" w:hAnsi="Arial" w:cs="Arial"/>
        </w:rPr>
        <w:t xml:space="preserve">, as well as </w:t>
      </w:r>
      <w:r w:rsidR="001E35A2" w:rsidRPr="009E5CFB">
        <w:rPr>
          <w:rFonts w:ascii="Arial" w:hAnsi="Arial" w:cs="Arial"/>
        </w:rPr>
        <w:t xml:space="preserve">access to </w:t>
      </w:r>
      <w:r w:rsidR="00472760">
        <w:rPr>
          <w:rFonts w:ascii="Arial" w:hAnsi="Arial" w:cs="Arial"/>
        </w:rPr>
        <w:t xml:space="preserve">the </w:t>
      </w:r>
      <w:r>
        <w:rPr>
          <w:rFonts w:ascii="Arial" w:hAnsi="Arial" w:cs="Arial"/>
        </w:rPr>
        <w:t xml:space="preserve">material inputs </w:t>
      </w:r>
      <w:r w:rsidR="00472760">
        <w:rPr>
          <w:rFonts w:ascii="Arial" w:hAnsi="Arial" w:cs="Arial"/>
        </w:rPr>
        <w:t xml:space="preserve">such as </w:t>
      </w:r>
      <w:r w:rsidR="00472760" w:rsidRPr="009E5CFB">
        <w:rPr>
          <w:rFonts w:ascii="Arial" w:hAnsi="Arial" w:cs="Arial"/>
        </w:rPr>
        <w:t xml:space="preserve">seed </w:t>
      </w:r>
      <w:r w:rsidR="00472760">
        <w:rPr>
          <w:rFonts w:ascii="Arial" w:hAnsi="Arial" w:cs="Arial"/>
        </w:rPr>
        <w:t xml:space="preserve">or inorganic </w:t>
      </w:r>
      <w:r w:rsidR="00472760" w:rsidRPr="009E5CFB">
        <w:rPr>
          <w:rFonts w:ascii="Arial" w:hAnsi="Arial" w:cs="Arial"/>
        </w:rPr>
        <w:t xml:space="preserve">fertilizer </w:t>
      </w:r>
      <w:r>
        <w:rPr>
          <w:rFonts w:ascii="Arial" w:hAnsi="Arial" w:cs="Arial"/>
        </w:rPr>
        <w:t xml:space="preserve">associated with the innovation </w:t>
      </w:r>
      <w:r w:rsidR="001E35A2" w:rsidRPr="009E5CFB">
        <w:rPr>
          <w:rFonts w:ascii="Arial" w:hAnsi="Arial" w:cs="Arial"/>
        </w:rPr>
        <w:t>(</w:t>
      </w:r>
      <w:proofErr w:type="spellStart"/>
      <w:r w:rsidR="001E35A2" w:rsidRPr="009E5CFB">
        <w:rPr>
          <w:rFonts w:ascii="Arial" w:hAnsi="Arial" w:cs="Arial"/>
        </w:rPr>
        <w:t>Melesse</w:t>
      </w:r>
      <w:proofErr w:type="spellEnd"/>
      <w:r w:rsidR="001E35A2" w:rsidRPr="009E5CFB">
        <w:rPr>
          <w:rFonts w:ascii="Arial" w:hAnsi="Arial" w:cs="Arial"/>
        </w:rPr>
        <w:t xml:space="preserve">, 2018). </w:t>
      </w:r>
      <w:r w:rsidR="008B4CB3" w:rsidRPr="008B4CB3">
        <w:rPr>
          <w:rFonts w:ascii="Arial" w:hAnsi="Arial" w:cs="Arial"/>
          <w:bCs/>
        </w:rPr>
        <w:t xml:space="preserve">Successful scaling </w:t>
      </w:r>
      <w:r w:rsidR="008B4CB3">
        <w:rPr>
          <w:rFonts w:ascii="Arial" w:hAnsi="Arial" w:cs="Arial"/>
          <w:bCs/>
        </w:rPr>
        <w:t xml:space="preserve">is often </w:t>
      </w:r>
      <w:r w:rsidR="008B4CB3" w:rsidRPr="008B4CB3">
        <w:rPr>
          <w:rFonts w:ascii="Arial" w:hAnsi="Arial" w:cs="Arial"/>
          <w:bCs/>
        </w:rPr>
        <w:t xml:space="preserve">determined by the </w:t>
      </w:r>
      <w:r w:rsidR="008B4CB3" w:rsidRPr="008B4CB3">
        <w:rPr>
          <w:rFonts w:ascii="Arial" w:hAnsi="Arial" w:cs="Arial"/>
          <w:b/>
        </w:rPr>
        <w:t>m</w:t>
      </w:r>
      <w:r w:rsidR="001E35A2" w:rsidRPr="008B4CB3">
        <w:rPr>
          <w:rFonts w:ascii="Arial" w:hAnsi="Arial" w:cs="Arial"/>
          <w:b/>
        </w:rPr>
        <w:t>arketability</w:t>
      </w:r>
      <w:r w:rsidR="001E35A2" w:rsidRPr="008B4CB3">
        <w:rPr>
          <w:rFonts w:ascii="Arial" w:hAnsi="Arial" w:cs="Arial"/>
          <w:bCs/>
        </w:rPr>
        <w:t xml:space="preserve"> of </w:t>
      </w:r>
      <w:r w:rsidR="008B4CB3" w:rsidRPr="008B4CB3">
        <w:rPr>
          <w:rFonts w:ascii="Arial" w:hAnsi="Arial" w:cs="Arial"/>
          <w:bCs/>
        </w:rPr>
        <w:t>a crop, which</w:t>
      </w:r>
      <w:r w:rsidR="008B4CB3">
        <w:rPr>
          <w:rFonts w:ascii="Arial" w:hAnsi="Arial" w:cs="Arial"/>
        </w:rPr>
        <w:t xml:space="preserve"> is linked to </w:t>
      </w:r>
      <w:r w:rsidR="001E35A2" w:rsidRPr="009E5CFB">
        <w:rPr>
          <w:rFonts w:ascii="Arial" w:hAnsi="Arial" w:cs="Arial"/>
          <w:b/>
        </w:rPr>
        <w:t>consumer demand</w:t>
      </w:r>
      <w:r w:rsidR="008B4CB3">
        <w:rPr>
          <w:rFonts w:ascii="Arial" w:hAnsi="Arial" w:cs="Arial"/>
          <w:b/>
        </w:rPr>
        <w:t xml:space="preserve">. </w:t>
      </w:r>
      <w:r w:rsidR="001E35A2" w:rsidRPr="009E5CFB">
        <w:rPr>
          <w:rFonts w:ascii="Arial" w:hAnsi="Arial" w:cs="Arial"/>
        </w:rPr>
        <w:t xml:space="preserve">Farmers </w:t>
      </w:r>
      <w:r w:rsidR="008B4CB3">
        <w:rPr>
          <w:rFonts w:ascii="Arial" w:hAnsi="Arial" w:cs="Arial"/>
        </w:rPr>
        <w:t>are generally u</w:t>
      </w:r>
      <w:r w:rsidR="001E35A2" w:rsidRPr="009E5CFB">
        <w:rPr>
          <w:rFonts w:ascii="Arial" w:hAnsi="Arial" w:cs="Arial"/>
        </w:rPr>
        <w:t xml:space="preserve">nwilling to </w:t>
      </w:r>
      <w:r w:rsidR="008B4CB3">
        <w:rPr>
          <w:rFonts w:ascii="Arial" w:hAnsi="Arial" w:cs="Arial"/>
        </w:rPr>
        <w:t xml:space="preserve">invest in an innovation </w:t>
      </w:r>
      <w:r w:rsidR="001E35A2" w:rsidRPr="009E5CFB">
        <w:rPr>
          <w:rFonts w:ascii="Arial" w:hAnsi="Arial" w:cs="Arial"/>
        </w:rPr>
        <w:t xml:space="preserve">unless they foresee </w:t>
      </w:r>
      <w:r w:rsidR="008B4CB3">
        <w:rPr>
          <w:rFonts w:ascii="Arial" w:hAnsi="Arial" w:cs="Arial"/>
        </w:rPr>
        <w:t xml:space="preserve">a financial return </w:t>
      </w:r>
      <w:r w:rsidR="001E35A2" w:rsidRPr="009E5CFB">
        <w:rPr>
          <w:rFonts w:ascii="Arial" w:hAnsi="Arial" w:cs="Arial"/>
        </w:rPr>
        <w:t xml:space="preserve">(Wiggins and Keats, 2013; </w:t>
      </w:r>
      <w:proofErr w:type="spellStart"/>
      <w:r w:rsidR="001E35A2" w:rsidRPr="009E5CFB">
        <w:rPr>
          <w:rFonts w:ascii="Arial" w:hAnsi="Arial" w:cs="Arial"/>
        </w:rPr>
        <w:t>Verkaart</w:t>
      </w:r>
      <w:proofErr w:type="spellEnd"/>
      <w:r w:rsidR="001E35A2" w:rsidRPr="009E5CFB">
        <w:rPr>
          <w:rFonts w:ascii="Arial" w:hAnsi="Arial" w:cs="Arial"/>
        </w:rPr>
        <w:t xml:space="preserve"> et al. 2019) or</w:t>
      </w:r>
      <w:r w:rsidR="008B4CB3">
        <w:rPr>
          <w:rFonts w:ascii="Arial" w:hAnsi="Arial" w:cs="Arial"/>
        </w:rPr>
        <w:t xml:space="preserve"> </w:t>
      </w:r>
      <w:r w:rsidR="00472760">
        <w:rPr>
          <w:rFonts w:ascii="Arial" w:hAnsi="Arial" w:cs="Arial"/>
        </w:rPr>
        <w:t xml:space="preserve">at least some value for </w:t>
      </w:r>
      <w:r w:rsidR="001E35A2" w:rsidRPr="009E5CFB">
        <w:rPr>
          <w:rFonts w:ascii="Arial" w:hAnsi="Arial" w:cs="Arial"/>
        </w:rPr>
        <w:t xml:space="preserve">domestic consumption. </w:t>
      </w:r>
      <w:r w:rsidR="008B4CB3">
        <w:rPr>
          <w:rFonts w:ascii="Arial" w:hAnsi="Arial" w:cs="Arial"/>
        </w:rPr>
        <w:t xml:space="preserve">Finally, </w:t>
      </w:r>
      <w:r w:rsidR="001E35A2" w:rsidRPr="009E5CFB">
        <w:rPr>
          <w:rFonts w:ascii="Arial" w:hAnsi="Arial" w:cs="Arial"/>
        </w:rPr>
        <w:t xml:space="preserve">successful scaling is more likely </w:t>
      </w:r>
      <w:r w:rsidR="008B4CB3">
        <w:rPr>
          <w:rFonts w:ascii="Arial" w:hAnsi="Arial" w:cs="Arial"/>
        </w:rPr>
        <w:t xml:space="preserve">to result from adaptive management supported by </w:t>
      </w:r>
      <w:r w:rsidR="001E35A2" w:rsidRPr="009E5CFB">
        <w:rPr>
          <w:rFonts w:ascii="Arial" w:hAnsi="Arial" w:cs="Arial"/>
        </w:rPr>
        <w:t xml:space="preserve">a timely </w:t>
      </w:r>
      <w:r w:rsidR="001E35A2" w:rsidRPr="009E5CFB">
        <w:rPr>
          <w:rFonts w:ascii="Arial" w:hAnsi="Arial" w:cs="Arial"/>
          <w:b/>
        </w:rPr>
        <w:t>feedback system</w:t>
      </w:r>
      <w:r w:rsidR="008B4CB3">
        <w:rPr>
          <w:rFonts w:ascii="Arial" w:hAnsi="Arial" w:cs="Arial"/>
          <w:b/>
        </w:rPr>
        <w:t xml:space="preserve">, </w:t>
      </w:r>
      <w:r w:rsidR="008B4CB3" w:rsidRPr="008B4CB3">
        <w:rPr>
          <w:rFonts w:ascii="Arial" w:hAnsi="Arial" w:cs="Arial"/>
          <w:bCs/>
        </w:rPr>
        <w:t>which includes</w:t>
      </w:r>
      <w:r w:rsidR="008B4CB3">
        <w:rPr>
          <w:rFonts w:ascii="Arial" w:hAnsi="Arial" w:cs="Arial"/>
          <w:b/>
        </w:rPr>
        <w:t xml:space="preserve"> </w:t>
      </w:r>
      <w:r w:rsidR="001E35A2" w:rsidRPr="009E5CFB">
        <w:rPr>
          <w:rFonts w:ascii="Arial" w:hAnsi="Arial" w:cs="Arial"/>
          <w:b/>
        </w:rPr>
        <w:t>upstream research</w:t>
      </w:r>
      <w:r w:rsidR="008B4CB3">
        <w:rPr>
          <w:rFonts w:ascii="Arial" w:hAnsi="Arial" w:cs="Arial"/>
          <w:b/>
        </w:rPr>
        <w:t xml:space="preserve"> </w:t>
      </w:r>
      <w:r w:rsidR="008B4CB3" w:rsidRPr="008B4CB3">
        <w:rPr>
          <w:rFonts w:ascii="Arial" w:hAnsi="Arial" w:cs="Arial"/>
          <w:bCs/>
        </w:rPr>
        <w:t>to</w:t>
      </w:r>
      <w:r w:rsidR="008B4CB3">
        <w:rPr>
          <w:rFonts w:ascii="Arial" w:hAnsi="Arial" w:cs="Arial"/>
          <w:bCs/>
        </w:rPr>
        <w:t xml:space="preserve"> enhance the scaling process.</w:t>
      </w:r>
    </w:p>
    <w:p w14:paraId="5011E84A" w14:textId="77777777" w:rsidR="001E35A2" w:rsidRPr="009E5CFB" w:rsidRDefault="001E35A2" w:rsidP="001E35A2">
      <w:pPr>
        <w:spacing w:after="0" w:line="240" w:lineRule="auto"/>
        <w:jc w:val="both"/>
        <w:rPr>
          <w:rFonts w:ascii="Arial" w:hAnsi="Arial" w:cs="Arial"/>
        </w:rPr>
      </w:pPr>
    </w:p>
    <w:p w14:paraId="6BE4375A" w14:textId="01F09F8C" w:rsidR="001E35A2" w:rsidRPr="009E5CFB" w:rsidRDefault="008B4CB3" w:rsidP="008B4CB3">
      <w:pPr>
        <w:pStyle w:val="Footer"/>
        <w:ind w:left="360"/>
        <w:jc w:val="center"/>
        <w:rPr>
          <w:rFonts w:ascii="Arial" w:hAnsi="Arial" w:cs="Arial"/>
          <w:b/>
          <w:bCs/>
        </w:rPr>
      </w:pPr>
      <w:r>
        <w:rPr>
          <w:rFonts w:ascii="Arial" w:hAnsi="Arial" w:cs="Arial"/>
          <w:b/>
          <w:bCs/>
        </w:rPr>
        <w:t xml:space="preserve">3. </w:t>
      </w:r>
      <w:r w:rsidR="001E35A2" w:rsidRPr="009E5CFB">
        <w:rPr>
          <w:rFonts w:ascii="Arial" w:hAnsi="Arial" w:cs="Arial"/>
          <w:b/>
          <w:bCs/>
        </w:rPr>
        <w:t>Data and methods</w:t>
      </w:r>
    </w:p>
    <w:p w14:paraId="7774F7FE" w14:textId="77777777" w:rsidR="001E35A2" w:rsidRPr="009E5CFB" w:rsidRDefault="001E35A2" w:rsidP="006F4708">
      <w:pPr>
        <w:pStyle w:val="Footer"/>
        <w:rPr>
          <w:rFonts w:ascii="Arial" w:hAnsi="Arial" w:cs="Arial"/>
        </w:rPr>
      </w:pPr>
    </w:p>
    <w:p w14:paraId="13CC45DF" w14:textId="1E5194DD" w:rsidR="0077713F" w:rsidRDefault="00015F00" w:rsidP="0008014D">
      <w:pPr>
        <w:pStyle w:val="Footer"/>
        <w:jc w:val="both"/>
        <w:rPr>
          <w:rFonts w:ascii="Arial" w:hAnsi="Arial" w:cs="Arial"/>
        </w:rPr>
      </w:pPr>
      <w:r>
        <w:rPr>
          <w:rFonts w:ascii="Arial" w:hAnsi="Arial" w:cs="Arial"/>
        </w:rPr>
        <w:t>Our evaluation of th</w:t>
      </w:r>
      <w:r w:rsidR="000F5D93">
        <w:rPr>
          <w:rFonts w:ascii="Arial" w:hAnsi="Arial" w:cs="Arial"/>
        </w:rPr>
        <w:t xml:space="preserve">is conceptual </w:t>
      </w:r>
      <w:r>
        <w:rPr>
          <w:rFonts w:ascii="Arial" w:hAnsi="Arial" w:cs="Arial"/>
        </w:rPr>
        <w:t xml:space="preserve">framework is based on </w:t>
      </w:r>
      <w:r w:rsidR="006D3934">
        <w:rPr>
          <w:rFonts w:ascii="Arial" w:hAnsi="Arial" w:cs="Arial"/>
        </w:rPr>
        <w:t>four projects in the GLDC research program</w:t>
      </w:r>
      <w:r w:rsidR="00472760">
        <w:rPr>
          <w:rFonts w:ascii="Arial" w:hAnsi="Arial" w:cs="Arial"/>
        </w:rPr>
        <w:t xml:space="preserve"> (Table 1)</w:t>
      </w:r>
      <w:r w:rsidR="006D3934">
        <w:rPr>
          <w:rFonts w:ascii="Arial" w:hAnsi="Arial" w:cs="Arial"/>
        </w:rPr>
        <w:t>.</w:t>
      </w:r>
      <w:r w:rsidR="00BF04D6">
        <w:rPr>
          <w:rFonts w:ascii="Arial" w:hAnsi="Arial" w:cs="Arial"/>
        </w:rPr>
        <w:t xml:space="preserve"> </w:t>
      </w:r>
      <w:r w:rsidR="0008014D">
        <w:rPr>
          <w:rFonts w:ascii="Arial" w:hAnsi="Arial" w:cs="Arial"/>
        </w:rPr>
        <w:t xml:space="preserve">All four were ‘flagship’ </w:t>
      </w:r>
      <w:r w:rsidR="00B14CE2">
        <w:rPr>
          <w:rFonts w:ascii="Arial" w:hAnsi="Arial" w:cs="Arial"/>
        </w:rPr>
        <w:t xml:space="preserve">scaling </w:t>
      </w:r>
      <w:r w:rsidR="0008014D">
        <w:rPr>
          <w:rFonts w:ascii="Arial" w:hAnsi="Arial" w:cs="Arial"/>
        </w:rPr>
        <w:t>projects with large budgets</w:t>
      </w:r>
      <w:r w:rsidR="00B14CE2">
        <w:rPr>
          <w:rFonts w:ascii="Arial" w:hAnsi="Arial" w:cs="Arial"/>
        </w:rPr>
        <w:t xml:space="preserve"> </w:t>
      </w:r>
      <w:r w:rsidR="008B760A">
        <w:rPr>
          <w:rFonts w:ascii="Arial" w:hAnsi="Arial" w:cs="Arial"/>
        </w:rPr>
        <w:t xml:space="preserve">that were </w:t>
      </w:r>
      <w:r w:rsidR="00B14CE2">
        <w:rPr>
          <w:rFonts w:ascii="Arial" w:hAnsi="Arial" w:cs="Arial"/>
        </w:rPr>
        <w:t>expected to reach between 400,000 – 4 million households</w:t>
      </w:r>
      <w:r w:rsidR="0008014D">
        <w:rPr>
          <w:rFonts w:ascii="Arial" w:hAnsi="Arial" w:cs="Arial"/>
        </w:rPr>
        <w:t>. Two</w:t>
      </w:r>
      <w:r w:rsidR="0006518B">
        <w:rPr>
          <w:rFonts w:ascii="Arial" w:hAnsi="Arial" w:cs="Arial"/>
        </w:rPr>
        <w:t xml:space="preserve"> projects</w:t>
      </w:r>
      <w:r w:rsidR="0008014D">
        <w:rPr>
          <w:rFonts w:ascii="Arial" w:hAnsi="Arial" w:cs="Arial"/>
        </w:rPr>
        <w:t xml:space="preserve"> (HOPE and TL III) were research projects with sizeable scaling components, whereas AVDC and MIS</w:t>
      </w:r>
      <w:r w:rsidR="00CD49E9">
        <w:rPr>
          <w:rFonts w:ascii="Arial" w:hAnsi="Arial" w:cs="Arial"/>
        </w:rPr>
        <w:t>S</w:t>
      </w:r>
      <w:r w:rsidR="0008014D">
        <w:rPr>
          <w:rFonts w:ascii="Arial" w:hAnsi="Arial" w:cs="Arial"/>
        </w:rPr>
        <w:t xml:space="preserve">T focused on scaling existing technology.  </w:t>
      </w:r>
      <w:r w:rsidR="0006518B">
        <w:rPr>
          <w:rFonts w:ascii="Arial" w:hAnsi="Arial" w:cs="Arial"/>
        </w:rPr>
        <w:t xml:space="preserve">  </w:t>
      </w:r>
      <w:r w:rsidR="00CD49E9">
        <w:rPr>
          <w:rFonts w:ascii="Arial" w:hAnsi="Arial" w:cs="Arial"/>
        </w:rPr>
        <w:t xml:space="preserve">Between them the </w:t>
      </w:r>
      <w:r w:rsidR="0008014D">
        <w:rPr>
          <w:rFonts w:ascii="Arial" w:hAnsi="Arial" w:cs="Arial"/>
        </w:rPr>
        <w:t xml:space="preserve">four </w:t>
      </w:r>
      <w:r w:rsidR="00BF04D6">
        <w:rPr>
          <w:rFonts w:ascii="Arial" w:hAnsi="Arial" w:cs="Arial"/>
        </w:rPr>
        <w:t>projects cover</w:t>
      </w:r>
      <w:r w:rsidR="0008014D">
        <w:rPr>
          <w:rFonts w:ascii="Arial" w:hAnsi="Arial" w:cs="Arial"/>
        </w:rPr>
        <w:t>ed</w:t>
      </w:r>
      <w:r w:rsidR="00BF04D6">
        <w:rPr>
          <w:rFonts w:ascii="Arial" w:hAnsi="Arial" w:cs="Arial"/>
        </w:rPr>
        <w:t xml:space="preserve"> seven major crops commonly grown in semi-arid environments, including two dryland cereals (sorghum and millets) and five grain legumes (groundnuts, chickpea, cowpea, </w:t>
      </w:r>
      <w:proofErr w:type="spellStart"/>
      <w:r w:rsidR="00BF04D6">
        <w:rPr>
          <w:rFonts w:ascii="Arial" w:hAnsi="Arial" w:cs="Arial"/>
        </w:rPr>
        <w:t>pigeonpea</w:t>
      </w:r>
      <w:proofErr w:type="spellEnd"/>
      <w:r w:rsidR="00BF04D6">
        <w:rPr>
          <w:rFonts w:ascii="Arial" w:hAnsi="Arial" w:cs="Arial"/>
        </w:rPr>
        <w:t xml:space="preserve">, soybean and common bean) as well as root crops (Irish potato, sweet potato) </w:t>
      </w:r>
      <w:r w:rsidR="00100A41">
        <w:rPr>
          <w:rFonts w:ascii="Arial" w:hAnsi="Arial" w:cs="Arial"/>
        </w:rPr>
        <w:t>and the value chains for li</w:t>
      </w:r>
      <w:r w:rsidR="00BF04D6">
        <w:rPr>
          <w:rFonts w:ascii="Arial" w:hAnsi="Arial" w:cs="Arial"/>
        </w:rPr>
        <w:t xml:space="preserve">vestock and </w:t>
      </w:r>
      <w:r w:rsidR="00100A41">
        <w:rPr>
          <w:rFonts w:ascii="Arial" w:hAnsi="Arial" w:cs="Arial"/>
        </w:rPr>
        <w:t>milk</w:t>
      </w:r>
      <w:r w:rsidR="00BF04D6">
        <w:rPr>
          <w:rFonts w:ascii="Arial" w:hAnsi="Arial" w:cs="Arial"/>
        </w:rPr>
        <w:t>.</w:t>
      </w:r>
      <w:r w:rsidR="00AA1D39">
        <w:rPr>
          <w:rFonts w:ascii="Arial" w:hAnsi="Arial" w:cs="Arial"/>
        </w:rPr>
        <w:t xml:space="preserve"> </w:t>
      </w:r>
      <w:r w:rsidR="00BF04D6">
        <w:rPr>
          <w:rFonts w:ascii="Arial" w:hAnsi="Arial" w:cs="Arial"/>
        </w:rPr>
        <w:t xml:space="preserve">Two projects (HOPE and TL III) </w:t>
      </w:r>
      <w:r w:rsidR="00CD49E9">
        <w:rPr>
          <w:rFonts w:ascii="Arial" w:hAnsi="Arial" w:cs="Arial"/>
        </w:rPr>
        <w:t>were</w:t>
      </w:r>
      <w:r w:rsidR="00BF04D6">
        <w:rPr>
          <w:rFonts w:ascii="Arial" w:hAnsi="Arial" w:cs="Arial"/>
        </w:rPr>
        <w:t xml:space="preserve"> regional in scope and cover</w:t>
      </w:r>
      <w:r w:rsidR="00CD49E9">
        <w:rPr>
          <w:rFonts w:ascii="Arial" w:hAnsi="Arial" w:cs="Arial"/>
        </w:rPr>
        <w:t>ed</w:t>
      </w:r>
      <w:r w:rsidR="00BF04D6">
        <w:rPr>
          <w:rFonts w:ascii="Arial" w:hAnsi="Arial" w:cs="Arial"/>
        </w:rPr>
        <w:t xml:space="preserve"> </w:t>
      </w:r>
      <w:r w:rsidR="0077713F">
        <w:rPr>
          <w:rFonts w:ascii="Arial" w:hAnsi="Arial" w:cs="Arial"/>
        </w:rPr>
        <w:t>both East and West Africa, while two cover</w:t>
      </w:r>
      <w:r w:rsidR="00CD49E9">
        <w:rPr>
          <w:rFonts w:ascii="Arial" w:hAnsi="Arial" w:cs="Arial"/>
        </w:rPr>
        <w:t>ed</w:t>
      </w:r>
      <w:r w:rsidR="0077713F">
        <w:rPr>
          <w:rFonts w:ascii="Arial" w:hAnsi="Arial" w:cs="Arial"/>
        </w:rPr>
        <w:t xml:space="preserve"> </w:t>
      </w:r>
      <w:r w:rsidR="00CD49E9">
        <w:rPr>
          <w:rFonts w:ascii="Arial" w:hAnsi="Arial" w:cs="Arial"/>
        </w:rPr>
        <w:t xml:space="preserve">just one </w:t>
      </w:r>
      <w:r w:rsidR="0077713F">
        <w:rPr>
          <w:rFonts w:ascii="Arial" w:hAnsi="Arial" w:cs="Arial"/>
        </w:rPr>
        <w:t>countr</w:t>
      </w:r>
      <w:r w:rsidR="00CD49E9">
        <w:rPr>
          <w:rFonts w:ascii="Arial" w:hAnsi="Arial" w:cs="Arial"/>
        </w:rPr>
        <w:t>y</w:t>
      </w:r>
      <w:r w:rsidR="0077713F">
        <w:rPr>
          <w:rFonts w:ascii="Arial" w:hAnsi="Arial" w:cs="Arial"/>
        </w:rPr>
        <w:t xml:space="preserve"> (Kenya and Malawi). Their duration ranged from three (AVCD) to five years (HOPE). Funding came from both private </w:t>
      </w:r>
      <w:r w:rsidR="008B760A">
        <w:rPr>
          <w:rFonts w:ascii="Arial" w:hAnsi="Arial" w:cs="Arial"/>
        </w:rPr>
        <w:t xml:space="preserve">philanthropy </w:t>
      </w:r>
      <w:r w:rsidR="0077713F">
        <w:rPr>
          <w:rFonts w:ascii="Arial" w:hAnsi="Arial" w:cs="Arial"/>
        </w:rPr>
        <w:t xml:space="preserve">(BMGF) and </w:t>
      </w:r>
      <w:r w:rsidR="008B760A">
        <w:rPr>
          <w:rFonts w:ascii="Arial" w:hAnsi="Arial" w:cs="Arial"/>
        </w:rPr>
        <w:t xml:space="preserve">the </w:t>
      </w:r>
      <w:r w:rsidR="0077713F">
        <w:rPr>
          <w:rFonts w:ascii="Arial" w:hAnsi="Arial" w:cs="Arial"/>
        </w:rPr>
        <w:t>public-sector (USAID).</w:t>
      </w:r>
    </w:p>
    <w:p w14:paraId="2A66D3CA" w14:textId="45D7B881" w:rsidR="00E80201" w:rsidRDefault="00E80201" w:rsidP="0008014D">
      <w:pPr>
        <w:pStyle w:val="Footer"/>
        <w:jc w:val="both"/>
        <w:rPr>
          <w:rFonts w:ascii="Arial" w:hAnsi="Arial" w:cs="Arial"/>
        </w:rPr>
      </w:pPr>
    </w:p>
    <w:p w14:paraId="0D7932FA" w14:textId="56F59BD4" w:rsidR="00167F00" w:rsidRDefault="008C785E" w:rsidP="001F73F6">
      <w:pPr>
        <w:pStyle w:val="Footer"/>
        <w:jc w:val="both"/>
        <w:rPr>
          <w:rFonts w:ascii="Arial" w:hAnsi="Arial" w:cs="Arial"/>
        </w:rPr>
      </w:pPr>
      <w:r>
        <w:rPr>
          <w:rFonts w:ascii="Arial" w:hAnsi="Arial" w:cs="Arial"/>
        </w:rPr>
        <w:t xml:space="preserve">The </w:t>
      </w:r>
      <w:r w:rsidR="008007B9">
        <w:rPr>
          <w:rFonts w:ascii="Arial" w:hAnsi="Arial" w:cs="Arial"/>
        </w:rPr>
        <w:t xml:space="preserve">common objective of all four scaling projects was to </w:t>
      </w:r>
      <w:r w:rsidR="001F73F6">
        <w:rPr>
          <w:rFonts w:ascii="Arial" w:hAnsi="Arial" w:cs="Arial"/>
        </w:rPr>
        <w:t>i</w:t>
      </w:r>
      <w:r w:rsidR="008007B9">
        <w:rPr>
          <w:rFonts w:ascii="Arial" w:hAnsi="Arial" w:cs="Arial"/>
        </w:rPr>
        <w:t>mprov</w:t>
      </w:r>
      <w:r w:rsidR="001F73F6">
        <w:rPr>
          <w:rFonts w:ascii="Arial" w:hAnsi="Arial" w:cs="Arial"/>
        </w:rPr>
        <w:t>e</w:t>
      </w:r>
      <w:r w:rsidR="008007B9">
        <w:rPr>
          <w:rFonts w:ascii="Arial" w:hAnsi="Arial" w:cs="Arial"/>
        </w:rPr>
        <w:t xml:space="preserve"> the delivery of certified seed.</w:t>
      </w:r>
      <w:r w:rsidR="00421F76">
        <w:rPr>
          <w:rFonts w:ascii="Arial" w:hAnsi="Arial" w:cs="Arial"/>
        </w:rPr>
        <w:t xml:space="preserve"> </w:t>
      </w:r>
      <w:r w:rsidR="001F73F6">
        <w:rPr>
          <w:rFonts w:ascii="Arial" w:hAnsi="Arial" w:cs="Arial"/>
        </w:rPr>
        <w:t>HOPE 2 and MISST targeted a specific volume of seed per country or per crop (</w:t>
      </w:r>
      <w:r w:rsidR="00F903DC">
        <w:rPr>
          <w:rFonts w:ascii="Arial" w:hAnsi="Arial" w:cs="Arial"/>
        </w:rPr>
        <w:t>ICRISAT, 2014; FTF-Malawi, 2019</w:t>
      </w:r>
      <w:r w:rsidR="001F73F6">
        <w:rPr>
          <w:rFonts w:ascii="Arial" w:hAnsi="Arial" w:cs="Arial"/>
        </w:rPr>
        <w:t xml:space="preserve">). TL III sought to supply “at least </w:t>
      </w:r>
      <w:r w:rsidR="00421F76">
        <w:rPr>
          <w:rFonts w:ascii="Arial" w:hAnsi="Arial" w:cs="Arial"/>
        </w:rPr>
        <w:t>20% of the seed required on a national basis for each crop” (</w:t>
      </w:r>
      <w:r w:rsidR="00F903DC">
        <w:rPr>
          <w:rFonts w:ascii="Arial" w:hAnsi="Arial" w:cs="Arial"/>
        </w:rPr>
        <w:t>ICRISAT, 2013)</w:t>
      </w:r>
      <w:r w:rsidR="00421F76">
        <w:rPr>
          <w:rFonts w:ascii="Arial" w:hAnsi="Arial" w:cs="Arial"/>
        </w:rPr>
        <w:t>.</w:t>
      </w:r>
      <w:r w:rsidR="001F73F6">
        <w:rPr>
          <w:rFonts w:ascii="Arial" w:hAnsi="Arial" w:cs="Arial"/>
        </w:rPr>
        <w:t xml:space="preserve"> The AVCD project focused on commercialisation (“increase the value and volume of the products in each value chain by 15%”) but included seed targets for all its crops</w:t>
      </w:r>
      <w:r w:rsidR="00F903DC">
        <w:rPr>
          <w:rFonts w:ascii="Arial" w:hAnsi="Arial" w:cs="Arial"/>
        </w:rPr>
        <w:t xml:space="preserve"> (ILRI, 2015)</w:t>
      </w:r>
      <w:r w:rsidR="001F73F6">
        <w:rPr>
          <w:rFonts w:ascii="Arial" w:hAnsi="Arial" w:cs="Arial"/>
        </w:rPr>
        <w:t>.</w:t>
      </w:r>
      <w:r w:rsidR="00F81D56">
        <w:rPr>
          <w:rFonts w:ascii="Arial" w:hAnsi="Arial" w:cs="Arial"/>
        </w:rPr>
        <w:t xml:space="preserve"> </w:t>
      </w:r>
    </w:p>
    <w:p w14:paraId="6FD6894A" w14:textId="77777777" w:rsidR="008276EF" w:rsidRDefault="008276EF">
      <w:pPr>
        <w:rPr>
          <w:rFonts w:ascii="Arial" w:hAnsi="Arial" w:cs="Arial"/>
          <w:b/>
          <w:bCs/>
        </w:rPr>
      </w:pPr>
      <w:r>
        <w:rPr>
          <w:rFonts w:ascii="Arial" w:hAnsi="Arial" w:cs="Arial"/>
          <w:b/>
          <w:bCs/>
        </w:rPr>
        <w:br w:type="page"/>
      </w:r>
    </w:p>
    <w:p w14:paraId="298BB4A7" w14:textId="70CFD2CA" w:rsidR="00434CB9" w:rsidRPr="00D5621E" w:rsidRDefault="00434CB9" w:rsidP="00434CB9">
      <w:pPr>
        <w:rPr>
          <w:rFonts w:ascii="Arial" w:hAnsi="Arial" w:cs="Arial"/>
          <w:b/>
          <w:bCs/>
        </w:rPr>
      </w:pPr>
      <w:r w:rsidRPr="00D5621E">
        <w:rPr>
          <w:rFonts w:ascii="Arial" w:hAnsi="Arial" w:cs="Arial"/>
          <w:b/>
          <w:bCs/>
        </w:rPr>
        <w:lastRenderedPageBreak/>
        <w:t>Table 1. Case study projects for evaluation of scaling framework</w:t>
      </w:r>
    </w:p>
    <w:tbl>
      <w:tblPr>
        <w:tblStyle w:val="TableGrid"/>
        <w:tblW w:w="9003" w:type="dxa"/>
        <w:tblLook w:val="04A0" w:firstRow="1" w:lastRow="0" w:firstColumn="1" w:lastColumn="0" w:noHBand="0" w:noVBand="1"/>
      </w:tblPr>
      <w:tblGrid>
        <w:gridCol w:w="1204"/>
        <w:gridCol w:w="1035"/>
        <w:gridCol w:w="973"/>
        <w:gridCol w:w="821"/>
        <w:gridCol w:w="1133"/>
        <w:gridCol w:w="1062"/>
        <w:gridCol w:w="892"/>
        <w:gridCol w:w="724"/>
        <w:gridCol w:w="1159"/>
      </w:tblGrid>
      <w:tr w:rsidR="00E603C1" w:rsidRPr="007772D9" w14:paraId="1DB8E402" w14:textId="77777777" w:rsidTr="00E603C1">
        <w:tc>
          <w:tcPr>
            <w:tcW w:w="0" w:type="auto"/>
          </w:tcPr>
          <w:p w14:paraId="6F9E22F0" w14:textId="77777777" w:rsidR="00E603C1" w:rsidRPr="007772D9" w:rsidRDefault="00E603C1" w:rsidP="00E603C1">
            <w:pPr>
              <w:jc w:val="center"/>
              <w:rPr>
                <w:rFonts w:ascii="Arial" w:hAnsi="Arial" w:cs="Arial"/>
                <w:sz w:val="16"/>
                <w:szCs w:val="16"/>
              </w:rPr>
            </w:pPr>
            <w:r w:rsidRPr="007772D9">
              <w:rPr>
                <w:rFonts w:ascii="Arial" w:hAnsi="Arial" w:cs="Arial"/>
                <w:sz w:val="16"/>
                <w:szCs w:val="16"/>
              </w:rPr>
              <w:t>Name</w:t>
            </w:r>
          </w:p>
        </w:tc>
        <w:tc>
          <w:tcPr>
            <w:tcW w:w="0" w:type="auto"/>
          </w:tcPr>
          <w:p w14:paraId="687D6C68" w14:textId="008F3408" w:rsidR="00E603C1" w:rsidRPr="007772D9" w:rsidRDefault="00E603C1" w:rsidP="00E603C1">
            <w:pPr>
              <w:jc w:val="center"/>
              <w:rPr>
                <w:rFonts w:ascii="Arial" w:hAnsi="Arial" w:cs="Arial"/>
                <w:sz w:val="16"/>
                <w:szCs w:val="16"/>
              </w:rPr>
            </w:pPr>
            <w:r w:rsidRPr="007772D9">
              <w:rPr>
                <w:rFonts w:ascii="Arial" w:hAnsi="Arial" w:cs="Arial"/>
                <w:sz w:val="16"/>
                <w:szCs w:val="16"/>
              </w:rPr>
              <w:t>Target population</w:t>
            </w:r>
          </w:p>
        </w:tc>
        <w:tc>
          <w:tcPr>
            <w:tcW w:w="0" w:type="auto"/>
          </w:tcPr>
          <w:p w14:paraId="71AFEFDA" w14:textId="1F52E6E0" w:rsidR="00E603C1" w:rsidRPr="007772D9" w:rsidRDefault="00E603C1" w:rsidP="00E603C1">
            <w:pPr>
              <w:jc w:val="center"/>
              <w:rPr>
                <w:rFonts w:ascii="Arial" w:hAnsi="Arial" w:cs="Arial"/>
                <w:sz w:val="16"/>
                <w:szCs w:val="16"/>
              </w:rPr>
            </w:pPr>
            <w:r w:rsidRPr="007772D9">
              <w:rPr>
                <w:rFonts w:ascii="Arial" w:hAnsi="Arial" w:cs="Arial"/>
                <w:sz w:val="16"/>
                <w:szCs w:val="16"/>
              </w:rPr>
              <w:t>Seed scaling targets</w:t>
            </w:r>
          </w:p>
        </w:tc>
        <w:tc>
          <w:tcPr>
            <w:tcW w:w="0" w:type="auto"/>
          </w:tcPr>
          <w:p w14:paraId="20AF3AD7" w14:textId="2A8BACA5" w:rsidR="00E603C1" w:rsidRPr="007772D9" w:rsidRDefault="00E603C1" w:rsidP="00E603C1">
            <w:pPr>
              <w:jc w:val="center"/>
              <w:rPr>
                <w:rFonts w:ascii="Arial" w:hAnsi="Arial" w:cs="Arial"/>
                <w:sz w:val="16"/>
                <w:szCs w:val="16"/>
              </w:rPr>
            </w:pPr>
            <w:r w:rsidRPr="007772D9">
              <w:rPr>
                <w:rFonts w:ascii="Arial" w:hAnsi="Arial" w:cs="Arial"/>
                <w:sz w:val="16"/>
                <w:szCs w:val="16"/>
              </w:rPr>
              <w:t>Duration</w:t>
            </w:r>
          </w:p>
        </w:tc>
        <w:tc>
          <w:tcPr>
            <w:tcW w:w="0" w:type="auto"/>
          </w:tcPr>
          <w:p w14:paraId="7D710213" w14:textId="77777777" w:rsidR="00E603C1" w:rsidRPr="007772D9" w:rsidRDefault="00E603C1" w:rsidP="00E603C1">
            <w:pPr>
              <w:jc w:val="center"/>
              <w:rPr>
                <w:rFonts w:ascii="Arial" w:hAnsi="Arial" w:cs="Arial"/>
                <w:sz w:val="16"/>
                <w:szCs w:val="16"/>
              </w:rPr>
            </w:pPr>
            <w:r w:rsidRPr="007772D9">
              <w:rPr>
                <w:rFonts w:ascii="Arial" w:hAnsi="Arial" w:cs="Arial"/>
                <w:sz w:val="16"/>
                <w:szCs w:val="16"/>
              </w:rPr>
              <w:t>Geographies</w:t>
            </w:r>
          </w:p>
        </w:tc>
        <w:tc>
          <w:tcPr>
            <w:tcW w:w="0" w:type="auto"/>
          </w:tcPr>
          <w:p w14:paraId="7369870A" w14:textId="77777777" w:rsidR="00E603C1" w:rsidRPr="007772D9" w:rsidRDefault="00E603C1" w:rsidP="00E603C1">
            <w:pPr>
              <w:jc w:val="center"/>
              <w:rPr>
                <w:rFonts w:ascii="Arial" w:hAnsi="Arial" w:cs="Arial"/>
                <w:sz w:val="16"/>
                <w:szCs w:val="16"/>
              </w:rPr>
            </w:pPr>
            <w:r w:rsidRPr="007772D9">
              <w:rPr>
                <w:rFonts w:ascii="Arial" w:hAnsi="Arial" w:cs="Arial"/>
                <w:sz w:val="16"/>
                <w:szCs w:val="16"/>
              </w:rPr>
              <w:t>Crops</w:t>
            </w:r>
          </w:p>
        </w:tc>
        <w:tc>
          <w:tcPr>
            <w:tcW w:w="0" w:type="auto"/>
          </w:tcPr>
          <w:p w14:paraId="5336237E" w14:textId="77777777" w:rsidR="00E603C1" w:rsidRPr="007772D9" w:rsidRDefault="00E603C1" w:rsidP="00E603C1">
            <w:pPr>
              <w:jc w:val="center"/>
              <w:rPr>
                <w:rFonts w:ascii="Arial" w:hAnsi="Arial" w:cs="Arial"/>
                <w:sz w:val="16"/>
                <w:szCs w:val="16"/>
              </w:rPr>
            </w:pPr>
            <w:r w:rsidRPr="007772D9">
              <w:rPr>
                <w:rFonts w:ascii="Arial" w:hAnsi="Arial" w:cs="Arial"/>
                <w:sz w:val="16"/>
                <w:szCs w:val="16"/>
              </w:rPr>
              <w:t>Lead Agency</w:t>
            </w:r>
          </w:p>
        </w:tc>
        <w:tc>
          <w:tcPr>
            <w:tcW w:w="0" w:type="auto"/>
          </w:tcPr>
          <w:p w14:paraId="5EFC7622" w14:textId="77777777" w:rsidR="00E603C1" w:rsidRPr="007772D9" w:rsidRDefault="00E603C1" w:rsidP="00E603C1">
            <w:pPr>
              <w:jc w:val="center"/>
              <w:rPr>
                <w:rFonts w:ascii="Arial" w:hAnsi="Arial" w:cs="Arial"/>
                <w:sz w:val="16"/>
                <w:szCs w:val="16"/>
              </w:rPr>
            </w:pPr>
            <w:r w:rsidRPr="007772D9">
              <w:rPr>
                <w:rFonts w:ascii="Arial" w:hAnsi="Arial" w:cs="Arial"/>
                <w:sz w:val="16"/>
                <w:szCs w:val="16"/>
              </w:rPr>
              <w:t>Budget (USD)</w:t>
            </w:r>
          </w:p>
        </w:tc>
        <w:tc>
          <w:tcPr>
            <w:tcW w:w="0" w:type="auto"/>
          </w:tcPr>
          <w:p w14:paraId="164CDCA2" w14:textId="77777777" w:rsidR="00E603C1" w:rsidRPr="007772D9" w:rsidRDefault="00E603C1" w:rsidP="00E603C1">
            <w:pPr>
              <w:jc w:val="center"/>
              <w:rPr>
                <w:rFonts w:ascii="Arial" w:hAnsi="Arial" w:cs="Arial"/>
                <w:sz w:val="16"/>
                <w:szCs w:val="16"/>
              </w:rPr>
            </w:pPr>
            <w:r w:rsidRPr="007772D9">
              <w:rPr>
                <w:rFonts w:ascii="Arial" w:hAnsi="Arial" w:cs="Arial"/>
                <w:sz w:val="16"/>
                <w:szCs w:val="16"/>
              </w:rPr>
              <w:t>Donor</w:t>
            </w:r>
          </w:p>
        </w:tc>
      </w:tr>
      <w:tr w:rsidR="00E603C1" w:rsidRPr="007772D9" w14:paraId="3F2BF4F1" w14:textId="77777777" w:rsidTr="00E603C1">
        <w:tc>
          <w:tcPr>
            <w:tcW w:w="0" w:type="auto"/>
          </w:tcPr>
          <w:p w14:paraId="590FDA32" w14:textId="77777777" w:rsidR="00E603C1" w:rsidRPr="007772D9" w:rsidRDefault="00E603C1" w:rsidP="00E603C1">
            <w:pPr>
              <w:rPr>
                <w:rFonts w:ascii="Arial" w:hAnsi="Arial" w:cs="Arial"/>
                <w:sz w:val="16"/>
                <w:szCs w:val="16"/>
              </w:rPr>
            </w:pPr>
            <w:r w:rsidRPr="007772D9">
              <w:rPr>
                <w:rFonts w:ascii="Arial" w:hAnsi="Arial" w:cs="Arial"/>
                <w:sz w:val="16"/>
                <w:szCs w:val="16"/>
              </w:rPr>
              <w:t>Harnessing Opportunities for Productivity Enhancement (HOPE) of Sorghum and Millets in Sub-Saharan Africa (Phase 2)</w:t>
            </w:r>
          </w:p>
        </w:tc>
        <w:tc>
          <w:tcPr>
            <w:tcW w:w="0" w:type="auto"/>
          </w:tcPr>
          <w:p w14:paraId="69250B03" w14:textId="10CBC6A4" w:rsidR="00E603C1" w:rsidRPr="007772D9" w:rsidRDefault="00E603C1" w:rsidP="00E603C1">
            <w:pPr>
              <w:rPr>
                <w:rFonts w:ascii="Arial" w:hAnsi="Arial" w:cs="Arial"/>
                <w:sz w:val="16"/>
                <w:szCs w:val="16"/>
              </w:rPr>
            </w:pPr>
            <w:r>
              <w:rPr>
                <w:rFonts w:ascii="Arial" w:hAnsi="Arial" w:cs="Arial"/>
                <w:sz w:val="16"/>
                <w:szCs w:val="16"/>
              </w:rPr>
              <w:t>4,000,000 households</w:t>
            </w:r>
          </w:p>
        </w:tc>
        <w:tc>
          <w:tcPr>
            <w:tcW w:w="0" w:type="auto"/>
          </w:tcPr>
          <w:p w14:paraId="4E5BE2BA" w14:textId="40F86FD9" w:rsidR="00E603C1" w:rsidRPr="007772D9" w:rsidRDefault="00E603C1" w:rsidP="00E603C1">
            <w:pPr>
              <w:rPr>
                <w:rFonts w:ascii="Arial" w:hAnsi="Arial" w:cs="Arial"/>
                <w:sz w:val="16"/>
                <w:szCs w:val="16"/>
              </w:rPr>
            </w:pPr>
            <w:r w:rsidRPr="007772D9">
              <w:rPr>
                <w:rFonts w:ascii="Arial" w:hAnsi="Arial" w:cs="Arial"/>
                <w:sz w:val="16"/>
                <w:szCs w:val="16"/>
              </w:rPr>
              <w:t>Increase supply certified seed by 12,000t/</w:t>
            </w:r>
            <w:proofErr w:type="spellStart"/>
            <w:r w:rsidRPr="007772D9">
              <w:rPr>
                <w:rFonts w:ascii="Arial" w:hAnsi="Arial" w:cs="Arial"/>
                <w:sz w:val="16"/>
                <w:szCs w:val="16"/>
              </w:rPr>
              <w:t>yr</w:t>
            </w:r>
            <w:proofErr w:type="spellEnd"/>
            <w:r w:rsidRPr="007772D9">
              <w:rPr>
                <w:rFonts w:ascii="Arial" w:hAnsi="Arial" w:cs="Arial"/>
                <w:sz w:val="16"/>
                <w:szCs w:val="16"/>
              </w:rPr>
              <w:t>;</w:t>
            </w:r>
          </w:p>
          <w:p w14:paraId="7FB29548" w14:textId="4BA6857D" w:rsidR="00E603C1" w:rsidRPr="007772D9" w:rsidRDefault="00E603C1" w:rsidP="00E603C1">
            <w:pPr>
              <w:rPr>
                <w:rFonts w:ascii="Arial" w:hAnsi="Arial" w:cs="Arial"/>
                <w:sz w:val="16"/>
                <w:szCs w:val="16"/>
              </w:rPr>
            </w:pPr>
            <w:r w:rsidRPr="007772D9">
              <w:rPr>
                <w:rFonts w:ascii="Arial" w:hAnsi="Arial" w:cs="Arial"/>
                <w:sz w:val="16"/>
                <w:szCs w:val="16"/>
              </w:rPr>
              <w:t>300,000 Small Seed Packs;</w:t>
            </w:r>
          </w:p>
          <w:p w14:paraId="363B4860" w14:textId="0A889B04" w:rsidR="00E603C1" w:rsidRPr="007772D9" w:rsidRDefault="00E603C1" w:rsidP="00E603C1">
            <w:pPr>
              <w:rPr>
                <w:rFonts w:ascii="Arial" w:hAnsi="Arial" w:cs="Arial"/>
                <w:sz w:val="16"/>
                <w:szCs w:val="16"/>
              </w:rPr>
            </w:pPr>
            <w:r w:rsidRPr="007772D9">
              <w:rPr>
                <w:rFonts w:ascii="Arial" w:hAnsi="Arial" w:cs="Arial"/>
                <w:sz w:val="16"/>
                <w:szCs w:val="16"/>
              </w:rPr>
              <w:t xml:space="preserve">30,000 ISSFM </w:t>
            </w:r>
            <w:proofErr w:type="spellStart"/>
            <w:r w:rsidRPr="007772D9">
              <w:rPr>
                <w:rFonts w:ascii="Arial" w:hAnsi="Arial" w:cs="Arial"/>
                <w:sz w:val="16"/>
                <w:szCs w:val="16"/>
              </w:rPr>
              <w:t>minikits</w:t>
            </w:r>
            <w:proofErr w:type="spellEnd"/>
          </w:p>
        </w:tc>
        <w:tc>
          <w:tcPr>
            <w:tcW w:w="0" w:type="auto"/>
          </w:tcPr>
          <w:p w14:paraId="50329637" w14:textId="6027986E" w:rsidR="00E603C1" w:rsidRPr="007772D9" w:rsidRDefault="00E603C1" w:rsidP="00E603C1">
            <w:pPr>
              <w:rPr>
                <w:rFonts w:ascii="Arial" w:hAnsi="Arial" w:cs="Arial"/>
                <w:sz w:val="16"/>
                <w:szCs w:val="16"/>
              </w:rPr>
            </w:pPr>
            <w:r w:rsidRPr="007772D9">
              <w:rPr>
                <w:rFonts w:ascii="Arial" w:hAnsi="Arial" w:cs="Arial"/>
                <w:sz w:val="16"/>
                <w:szCs w:val="16"/>
              </w:rPr>
              <w:t>2016-2020</w:t>
            </w:r>
          </w:p>
        </w:tc>
        <w:tc>
          <w:tcPr>
            <w:tcW w:w="0" w:type="auto"/>
          </w:tcPr>
          <w:p w14:paraId="3FB9A4F5" w14:textId="77777777" w:rsidR="00E603C1" w:rsidRPr="007772D9" w:rsidRDefault="00E603C1" w:rsidP="00E603C1">
            <w:pPr>
              <w:rPr>
                <w:rFonts w:ascii="Arial" w:hAnsi="Arial" w:cs="Arial"/>
                <w:sz w:val="16"/>
                <w:szCs w:val="16"/>
              </w:rPr>
            </w:pPr>
            <w:r w:rsidRPr="007772D9">
              <w:rPr>
                <w:rFonts w:ascii="Arial" w:hAnsi="Arial" w:cs="Arial"/>
                <w:sz w:val="16"/>
                <w:szCs w:val="16"/>
              </w:rPr>
              <w:t>East Africa: Ethiopia, Tanzania</w:t>
            </w:r>
          </w:p>
          <w:p w14:paraId="4FFA10D6" w14:textId="77777777" w:rsidR="00E603C1" w:rsidRPr="007772D9" w:rsidRDefault="00E603C1" w:rsidP="00E603C1">
            <w:pPr>
              <w:rPr>
                <w:rFonts w:ascii="Arial" w:hAnsi="Arial" w:cs="Arial"/>
                <w:sz w:val="16"/>
                <w:szCs w:val="16"/>
              </w:rPr>
            </w:pPr>
            <w:r w:rsidRPr="007772D9">
              <w:rPr>
                <w:rFonts w:ascii="Arial" w:hAnsi="Arial" w:cs="Arial"/>
                <w:sz w:val="16"/>
                <w:szCs w:val="16"/>
              </w:rPr>
              <w:t xml:space="preserve">West Africa: Niger, Nigeria, Niger, Mali, Burkina Faso </w:t>
            </w:r>
          </w:p>
        </w:tc>
        <w:tc>
          <w:tcPr>
            <w:tcW w:w="0" w:type="auto"/>
          </w:tcPr>
          <w:p w14:paraId="4764C6AC" w14:textId="77777777" w:rsidR="00E603C1" w:rsidRPr="007772D9" w:rsidRDefault="00E603C1" w:rsidP="00E603C1">
            <w:pPr>
              <w:rPr>
                <w:rFonts w:ascii="Arial" w:hAnsi="Arial" w:cs="Arial"/>
                <w:sz w:val="16"/>
                <w:szCs w:val="16"/>
              </w:rPr>
            </w:pPr>
            <w:r w:rsidRPr="007772D9">
              <w:rPr>
                <w:rFonts w:ascii="Arial" w:hAnsi="Arial" w:cs="Arial"/>
                <w:sz w:val="16"/>
                <w:szCs w:val="16"/>
              </w:rPr>
              <w:t>Sorghum</w:t>
            </w:r>
          </w:p>
          <w:p w14:paraId="002681AA" w14:textId="77777777" w:rsidR="00E603C1" w:rsidRPr="007772D9" w:rsidRDefault="00E603C1" w:rsidP="00E603C1">
            <w:pPr>
              <w:rPr>
                <w:rFonts w:ascii="Arial" w:hAnsi="Arial" w:cs="Arial"/>
                <w:sz w:val="16"/>
                <w:szCs w:val="16"/>
              </w:rPr>
            </w:pPr>
            <w:r w:rsidRPr="007772D9">
              <w:rPr>
                <w:rFonts w:ascii="Arial" w:hAnsi="Arial" w:cs="Arial"/>
                <w:sz w:val="16"/>
                <w:szCs w:val="16"/>
              </w:rPr>
              <w:t>Pearl millet</w:t>
            </w:r>
          </w:p>
          <w:p w14:paraId="60490DAE" w14:textId="77777777" w:rsidR="00E603C1" w:rsidRPr="007772D9" w:rsidRDefault="00E603C1" w:rsidP="00E603C1">
            <w:pPr>
              <w:rPr>
                <w:rFonts w:ascii="Arial" w:hAnsi="Arial" w:cs="Arial"/>
                <w:sz w:val="16"/>
                <w:szCs w:val="16"/>
              </w:rPr>
            </w:pPr>
            <w:r w:rsidRPr="007772D9">
              <w:rPr>
                <w:rFonts w:ascii="Arial" w:hAnsi="Arial" w:cs="Arial"/>
                <w:sz w:val="16"/>
                <w:szCs w:val="16"/>
              </w:rPr>
              <w:t>Finger millet</w:t>
            </w:r>
          </w:p>
        </w:tc>
        <w:tc>
          <w:tcPr>
            <w:tcW w:w="0" w:type="auto"/>
          </w:tcPr>
          <w:p w14:paraId="7B26F756" w14:textId="77777777" w:rsidR="00E603C1" w:rsidRPr="007772D9" w:rsidRDefault="00E603C1" w:rsidP="00E603C1">
            <w:pPr>
              <w:rPr>
                <w:rFonts w:ascii="Arial" w:hAnsi="Arial" w:cs="Arial"/>
                <w:sz w:val="16"/>
                <w:szCs w:val="16"/>
              </w:rPr>
            </w:pPr>
            <w:r w:rsidRPr="007772D9">
              <w:rPr>
                <w:rFonts w:ascii="Arial" w:hAnsi="Arial" w:cs="Arial"/>
                <w:sz w:val="16"/>
                <w:szCs w:val="16"/>
              </w:rPr>
              <w:t>ICRISAT</w:t>
            </w:r>
          </w:p>
        </w:tc>
        <w:tc>
          <w:tcPr>
            <w:tcW w:w="0" w:type="auto"/>
          </w:tcPr>
          <w:p w14:paraId="20EB9F59" w14:textId="77777777" w:rsidR="00E603C1" w:rsidRPr="007772D9" w:rsidRDefault="00E603C1" w:rsidP="00E603C1">
            <w:pPr>
              <w:rPr>
                <w:rFonts w:ascii="Arial" w:hAnsi="Arial" w:cs="Arial"/>
                <w:sz w:val="16"/>
                <w:szCs w:val="16"/>
              </w:rPr>
            </w:pPr>
            <w:r w:rsidRPr="007772D9">
              <w:rPr>
                <w:rFonts w:ascii="Arial" w:hAnsi="Arial" w:cs="Arial"/>
                <w:sz w:val="16"/>
                <w:szCs w:val="16"/>
              </w:rPr>
              <w:t>15 m.</w:t>
            </w:r>
          </w:p>
        </w:tc>
        <w:tc>
          <w:tcPr>
            <w:tcW w:w="0" w:type="auto"/>
          </w:tcPr>
          <w:p w14:paraId="0A4CCB9D" w14:textId="77777777" w:rsidR="00E603C1" w:rsidRPr="007772D9" w:rsidRDefault="00E603C1" w:rsidP="00E603C1">
            <w:pPr>
              <w:rPr>
                <w:rFonts w:ascii="Arial" w:hAnsi="Arial" w:cs="Arial"/>
                <w:sz w:val="16"/>
                <w:szCs w:val="16"/>
              </w:rPr>
            </w:pPr>
            <w:r w:rsidRPr="007772D9">
              <w:rPr>
                <w:rFonts w:ascii="Arial" w:hAnsi="Arial" w:cs="Arial"/>
                <w:sz w:val="16"/>
                <w:szCs w:val="16"/>
              </w:rPr>
              <w:t>Bill &amp; Melinda Gates Foundation</w:t>
            </w:r>
          </w:p>
        </w:tc>
      </w:tr>
      <w:tr w:rsidR="00E603C1" w:rsidRPr="007772D9" w14:paraId="07DC4B02" w14:textId="77777777" w:rsidTr="00E603C1">
        <w:tc>
          <w:tcPr>
            <w:tcW w:w="0" w:type="auto"/>
          </w:tcPr>
          <w:p w14:paraId="14609027" w14:textId="4A9B1F98" w:rsidR="00E603C1" w:rsidRPr="007772D9" w:rsidRDefault="00E603C1" w:rsidP="00E603C1">
            <w:pPr>
              <w:rPr>
                <w:rFonts w:ascii="Arial" w:hAnsi="Arial" w:cs="Arial"/>
                <w:sz w:val="16"/>
                <w:szCs w:val="16"/>
              </w:rPr>
            </w:pPr>
            <w:r w:rsidRPr="007772D9">
              <w:rPr>
                <w:rFonts w:ascii="Arial" w:hAnsi="Arial" w:cs="Arial"/>
                <w:sz w:val="16"/>
                <w:szCs w:val="16"/>
              </w:rPr>
              <w:t>Tropical Legumes III (TL III): Improving Livelihoods for Smallholder Farmers: enhanced Grain Legume Productivity and Production in Sub-Saharan Africa and south Asia</w:t>
            </w:r>
          </w:p>
        </w:tc>
        <w:tc>
          <w:tcPr>
            <w:tcW w:w="0" w:type="auto"/>
          </w:tcPr>
          <w:p w14:paraId="0630E7BD" w14:textId="749029BD" w:rsidR="00E603C1" w:rsidRPr="007772D9" w:rsidRDefault="00E603C1" w:rsidP="00E603C1">
            <w:pPr>
              <w:rPr>
                <w:rFonts w:ascii="Arial" w:hAnsi="Arial" w:cs="Arial"/>
                <w:sz w:val="16"/>
                <w:szCs w:val="16"/>
              </w:rPr>
            </w:pPr>
            <w:r>
              <w:rPr>
                <w:rFonts w:ascii="Arial" w:hAnsi="Arial" w:cs="Arial"/>
                <w:sz w:val="16"/>
                <w:szCs w:val="16"/>
              </w:rPr>
              <w:t>500,000 households</w:t>
            </w:r>
          </w:p>
        </w:tc>
        <w:tc>
          <w:tcPr>
            <w:tcW w:w="0" w:type="auto"/>
          </w:tcPr>
          <w:p w14:paraId="0FE4EF71" w14:textId="73D46DF3" w:rsidR="00E603C1" w:rsidRPr="007772D9" w:rsidRDefault="00E603C1" w:rsidP="00E603C1">
            <w:pPr>
              <w:rPr>
                <w:rFonts w:ascii="Arial" w:hAnsi="Arial" w:cs="Arial"/>
                <w:sz w:val="16"/>
                <w:szCs w:val="16"/>
              </w:rPr>
            </w:pPr>
            <w:r w:rsidRPr="007772D9">
              <w:rPr>
                <w:rFonts w:ascii="Arial" w:hAnsi="Arial" w:cs="Arial"/>
                <w:sz w:val="16"/>
                <w:szCs w:val="16"/>
              </w:rPr>
              <w:t>Supply 20% of certified seed required for target crops</w:t>
            </w:r>
          </w:p>
        </w:tc>
        <w:tc>
          <w:tcPr>
            <w:tcW w:w="0" w:type="auto"/>
          </w:tcPr>
          <w:p w14:paraId="5786F066" w14:textId="72359DD7" w:rsidR="00E603C1" w:rsidRPr="007772D9" w:rsidRDefault="00E603C1" w:rsidP="00E603C1">
            <w:pPr>
              <w:rPr>
                <w:rFonts w:ascii="Arial" w:hAnsi="Arial" w:cs="Arial"/>
                <w:sz w:val="16"/>
                <w:szCs w:val="16"/>
              </w:rPr>
            </w:pPr>
            <w:r w:rsidRPr="007772D9">
              <w:rPr>
                <w:rFonts w:ascii="Arial" w:hAnsi="Arial" w:cs="Arial"/>
                <w:sz w:val="16"/>
                <w:szCs w:val="16"/>
              </w:rPr>
              <w:t>2015-2019</w:t>
            </w:r>
          </w:p>
        </w:tc>
        <w:tc>
          <w:tcPr>
            <w:tcW w:w="0" w:type="auto"/>
          </w:tcPr>
          <w:p w14:paraId="6EC156CA" w14:textId="77777777" w:rsidR="00E603C1" w:rsidRPr="007772D9" w:rsidRDefault="00E603C1" w:rsidP="00E603C1">
            <w:pPr>
              <w:rPr>
                <w:rFonts w:ascii="Arial" w:hAnsi="Arial" w:cs="Arial"/>
                <w:sz w:val="16"/>
                <w:szCs w:val="16"/>
              </w:rPr>
            </w:pPr>
            <w:r w:rsidRPr="007772D9">
              <w:rPr>
                <w:rFonts w:ascii="Arial" w:hAnsi="Arial" w:cs="Arial"/>
                <w:sz w:val="16"/>
                <w:szCs w:val="16"/>
              </w:rPr>
              <w:t>West Africa: Burkina Faso, Ghana, Mali, Nigeria, East Africa: Ethiopia, Tanzania and Uganda</w:t>
            </w:r>
          </w:p>
          <w:p w14:paraId="0A2B6624" w14:textId="3C2B271A" w:rsidR="00E603C1" w:rsidRPr="007772D9" w:rsidRDefault="00E603C1" w:rsidP="00E603C1">
            <w:pPr>
              <w:rPr>
                <w:rFonts w:ascii="Arial" w:hAnsi="Arial" w:cs="Arial"/>
                <w:sz w:val="16"/>
                <w:szCs w:val="16"/>
              </w:rPr>
            </w:pPr>
            <w:r w:rsidRPr="007772D9">
              <w:rPr>
                <w:rFonts w:ascii="Arial" w:hAnsi="Arial" w:cs="Arial"/>
                <w:sz w:val="16"/>
                <w:szCs w:val="16"/>
              </w:rPr>
              <w:t>India: Uttar Pradesh (chickpea)</w:t>
            </w:r>
          </w:p>
        </w:tc>
        <w:tc>
          <w:tcPr>
            <w:tcW w:w="0" w:type="auto"/>
          </w:tcPr>
          <w:p w14:paraId="3DFA3624" w14:textId="77777777" w:rsidR="00E603C1" w:rsidRPr="007772D9" w:rsidRDefault="00E603C1" w:rsidP="00E603C1">
            <w:pPr>
              <w:rPr>
                <w:rFonts w:ascii="Arial" w:hAnsi="Arial" w:cs="Arial"/>
                <w:sz w:val="16"/>
                <w:szCs w:val="16"/>
              </w:rPr>
            </w:pPr>
            <w:r w:rsidRPr="007772D9">
              <w:rPr>
                <w:rFonts w:ascii="Arial" w:eastAsia="Times New Roman" w:hAnsi="Arial" w:cs="Arial"/>
                <w:sz w:val="16"/>
                <w:szCs w:val="16"/>
              </w:rPr>
              <w:t>Common bean, cowpea, chickpea, groundnut</w:t>
            </w:r>
          </w:p>
        </w:tc>
        <w:tc>
          <w:tcPr>
            <w:tcW w:w="0" w:type="auto"/>
          </w:tcPr>
          <w:p w14:paraId="50DBB1A0" w14:textId="77777777" w:rsidR="00E603C1" w:rsidRPr="007772D9" w:rsidRDefault="00E603C1" w:rsidP="00E603C1">
            <w:pPr>
              <w:rPr>
                <w:rFonts w:ascii="Arial" w:hAnsi="Arial" w:cs="Arial"/>
                <w:sz w:val="16"/>
                <w:szCs w:val="16"/>
              </w:rPr>
            </w:pPr>
            <w:r w:rsidRPr="007772D9">
              <w:rPr>
                <w:rFonts w:ascii="Arial" w:hAnsi="Arial" w:cs="Arial"/>
                <w:sz w:val="16"/>
                <w:szCs w:val="16"/>
              </w:rPr>
              <w:t>ICRISAT</w:t>
            </w:r>
          </w:p>
        </w:tc>
        <w:tc>
          <w:tcPr>
            <w:tcW w:w="0" w:type="auto"/>
          </w:tcPr>
          <w:p w14:paraId="173A168D" w14:textId="77777777" w:rsidR="00E603C1" w:rsidRPr="007772D9" w:rsidRDefault="00E603C1" w:rsidP="00E603C1">
            <w:pPr>
              <w:rPr>
                <w:rFonts w:ascii="Arial" w:hAnsi="Arial" w:cs="Arial"/>
                <w:sz w:val="16"/>
                <w:szCs w:val="16"/>
              </w:rPr>
            </w:pPr>
            <w:r w:rsidRPr="007772D9">
              <w:rPr>
                <w:rFonts w:ascii="Arial" w:hAnsi="Arial" w:cs="Arial"/>
                <w:sz w:val="16"/>
                <w:szCs w:val="16"/>
              </w:rPr>
              <w:t>25 m.</w:t>
            </w:r>
          </w:p>
        </w:tc>
        <w:tc>
          <w:tcPr>
            <w:tcW w:w="0" w:type="auto"/>
          </w:tcPr>
          <w:p w14:paraId="2A7FE761" w14:textId="77777777" w:rsidR="00E603C1" w:rsidRPr="007772D9" w:rsidRDefault="00E603C1" w:rsidP="00E603C1">
            <w:pPr>
              <w:rPr>
                <w:rFonts w:ascii="Arial" w:hAnsi="Arial" w:cs="Arial"/>
                <w:sz w:val="16"/>
                <w:szCs w:val="16"/>
              </w:rPr>
            </w:pPr>
            <w:r w:rsidRPr="007772D9">
              <w:rPr>
                <w:rFonts w:ascii="Arial" w:hAnsi="Arial" w:cs="Arial"/>
                <w:sz w:val="16"/>
                <w:szCs w:val="16"/>
              </w:rPr>
              <w:t>Bill &amp; Melinda Gates Foundation</w:t>
            </w:r>
          </w:p>
        </w:tc>
      </w:tr>
      <w:tr w:rsidR="00E603C1" w:rsidRPr="007772D9" w14:paraId="72B494F2" w14:textId="77777777" w:rsidTr="00E603C1">
        <w:tc>
          <w:tcPr>
            <w:tcW w:w="0" w:type="auto"/>
          </w:tcPr>
          <w:p w14:paraId="29364C3E" w14:textId="2174812B" w:rsidR="00E603C1" w:rsidRPr="007772D9" w:rsidRDefault="00E603C1" w:rsidP="00E603C1">
            <w:pPr>
              <w:rPr>
                <w:rFonts w:ascii="Arial" w:hAnsi="Arial" w:cs="Arial"/>
                <w:sz w:val="16"/>
                <w:szCs w:val="16"/>
              </w:rPr>
            </w:pPr>
            <w:r w:rsidRPr="007772D9">
              <w:rPr>
                <w:rFonts w:ascii="Arial" w:hAnsi="Arial" w:cs="Arial"/>
                <w:sz w:val="16"/>
                <w:szCs w:val="16"/>
              </w:rPr>
              <w:t xml:space="preserve">Accelerated Value Chain Development (AVCD) Program for Kenya </w:t>
            </w:r>
          </w:p>
        </w:tc>
        <w:tc>
          <w:tcPr>
            <w:tcW w:w="0" w:type="auto"/>
          </w:tcPr>
          <w:p w14:paraId="5F15A5A9" w14:textId="599E2AC9" w:rsidR="00E603C1" w:rsidRPr="007772D9" w:rsidRDefault="00E603C1" w:rsidP="00E603C1">
            <w:pPr>
              <w:rPr>
                <w:rFonts w:ascii="Arial" w:hAnsi="Arial" w:cs="Arial"/>
                <w:sz w:val="16"/>
                <w:szCs w:val="16"/>
              </w:rPr>
            </w:pPr>
            <w:r>
              <w:rPr>
                <w:rFonts w:ascii="Arial" w:hAnsi="Arial" w:cs="Arial"/>
                <w:sz w:val="16"/>
                <w:szCs w:val="16"/>
              </w:rPr>
              <w:t>444,000 households</w:t>
            </w:r>
          </w:p>
        </w:tc>
        <w:tc>
          <w:tcPr>
            <w:tcW w:w="0" w:type="auto"/>
          </w:tcPr>
          <w:p w14:paraId="2999BF6F" w14:textId="6700C63F" w:rsidR="00E603C1" w:rsidRPr="007772D9" w:rsidRDefault="00E603C1" w:rsidP="00E603C1">
            <w:pPr>
              <w:rPr>
                <w:rFonts w:ascii="Arial" w:hAnsi="Arial" w:cs="Arial"/>
                <w:sz w:val="16"/>
                <w:szCs w:val="16"/>
              </w:rPr>
            </w:pPr>
            <w:r w:rsidRPr="007772D9">
              <w:rPr>
                <w:rFonts w:ascii="Arial" w:hAnsi="Arial" w:cs="Arial"/>
                <w:sz w:val="16"/>
                <w:szCs w:val="16"/>
              </w:rPr>
              <w:t>Increase volume and value of market sales by 15%</w:t>
            </w:r>
          </w:p>
        </w:tc>
        <w:tc>
          <w:tcPr>
            <w:tcW w:w="0" w:type="auto"/>
          </w:tcPr>
          <w:p w14:paraId="2317A910" w14:textId="12730112" w:rsidR="00E603C1" w:rsidRPr="007772D9" w:rsidRDefault="00E603C1" w:rsidP="00E603C1">
            <w:pPr>
              <w:rPr>
                <w:rFonts w:ascii="Arial" w:hAnsi="Arial" w:cs="Arial"/>
                <w:sz w:val="16"/>
                <w:szCs w:val="16"/>
              </w:rPr>
            </w:pPr>
            <w:r w:rsidRPr="007772D9">
              <w:rPr>
                <w:rFonts w:ascii="Arial" w:hAnsi="Arial" w:cs="Arial"/>
                <w:sz w:val="16"/>
                <w:szCs w:val="16"/>
              </w:rPr>
              <w:t>2016-2019</w:t>
            </w:r>
          </w:p>
        </w:tc>
        <w:tc>
          <w:tcPr>
            <w:tcW w:w="0" w:type="auto"/>
          </w:tcPr>
          <w:p w14:paraId="714519B9" w14:textId="77777777" w:rsidR="00E603C1" w:rsidRPr="007772D9" w:rsidRDefault="00E603C1" w:rsidP="00E603C1">
            <w:pPr>
              <w:rPr>
                <w:rFonts w:ascii="Arial" w:hAnsi="Arial" w:cs="Arial"/>
                <w:sz w:val="16"/>
                <w:szCs w:val="16"/>
              </w:rPr>
            </w:pPr>
            <w:r w:rsidRPr="007772D9">
              <w:rPr>
                <w:rFonts w:ascii="Arial" w:hAnsi="Arial" w:cs="Arial"/>
                <w:sz w:val="16"/>
                <w:szCs w:val="16"/>
              </w:rPr>
              <w:t xml:space="preserve">Kenya </w:t>
            </w:r>
          </w:p>
          <w:p w14:paraId="5DBD89AD" w14:textId="3C17B03F" w:rsidR="00E603C1" w:rsidRPr="007772D9" w:rsidRDefault="00E603C1" w:rsidP="00E603C1">
            <w:pPr>
              <w:rPr>
                <w:rFonts w:ascii="Arial" w:hAnsi="Arial" w:cs="Arial"/>
                <w:sz w:val="16"/>
                <w:szCs w:val="16"/>
              </w:rPr>
            </w:pPr>
            <w:r w:rsidRPr="007772D9">
              <w:rPr>
                <w:rFonts w:ascii="Arial" w:hAnsi="Arial" w:cs="Arial"/>
                <w:sz w:val="16"/>
                <w:szCs w:val="16"/>
              </w:rPr>
              <w:t>(17 counties)</w:t>
            </w:r>
          </w:p>
        </w:tc>
        <w:tc>
          <w:tcPr>
            <w:tcW w:w="0" w:type="auto"/>
          </w:tcPr>
          <w:p w14:paraId="0FA6BE16" w14:textId="77777777" w:rsidR="00E603C1" w:rsidRPr="007772D9" w:rsidRDefault="00E603C1" w:rsidP="00E603C1">
            <w:pPr>
              <w:rPr>
                <w:rFonts w:ascii="Arial" w:hAnsi="Arial" w:cs="Arial"/>
                <w:sz w:val="16"/>
                <w:szCs w:val="16"/>
              </w:rPr>
            </w:pPr>
            <w:r w:rsidRPr="007772D9">
              <w:rPr>
                <w:rFonts w:ascii="Arial" w:hAnsi="Arial" w:cs="Arial"/>
                <w:sz w:val="16"/>
                <w:szCs w:val="16"/>
              </w:rPr>
              <w:t>Value chains for livestock/</w:t>
            </w:r>
          </w:p>
          <w:p w14:paraId="4B579AE6" w14:textId="6220F296" w:rsidR="00E603C1" w:rsidRPr="007772D9" w:rsidRDefault="00E603C1" w:rsidP="00E603C1">
            <w:pPr>
              <w:rPr>
                <w:rFonts w:ascii="Arial" w:hAnsi="Arial" w:cs="Arial"/>
                <w:sz w:val="16"/>
                <w:szCs w:val="16"/>
              </w:rPr>
            </w:pPr>
            <w:r w:rsidRPr="007772D9">
              <w:rPr>
                <w:rFonts w:ascii="Arial" w:hAnsi="Arial" w:cs="Arial"/>
                <w:sz w:val="16"/>
                <w:szCs w:val="16"/>
              </w:rPr>
              <w:t xml:space="preserve">fodder, dairy, sweet potato, Irish potato, sorghum, groundnuts, </w:t>
            </w:r>
            <w:proofErr w:type="spellStart"/>
            <w:r w:rsidRPr="007772D9">
              <w:rPr>
                <w:rFonts w:ascii="Arial" w:hAnsi="Arial" w:cs="Arial"/>
                <w:sz w:val="16"/>
                <w:szCs w:val="16"/>
              </w:rPr>
              <w:t>pigeonpea</w:t>
            </w:r>
            <w:proofErr w:type="spellEnd"/>
            <w:r w:rsidRPr="007772D9">
              <w:rPr>
                <w:rFonts w:ascii="Arial" w:hAnsi="Arial" w:cs="Arial"/>
                <w:sz w:val="16"/>
                <w:szCs w:val="16"/>
              </w:rPr>
              <w:t xml:space="preserve"> </w:t>
            </w:r>
          </w:p>
        </w:tc>
        <w:tc>
          <w:tcPr>
            <w:tcW w:w="0" w:type="auto"/>
          </w:tcPr>
          <w:p w14:paraId="39D821DE" w14:textId="77777777" w:rsidR="00E603C1" w:rsidRPr="007772D9" w:rsidRDefault="00E603C1" w:rsidP="00E603C1">
            <w:pPr>
              <w:rPr>
                <w:rFonts w:ascii="Arial" w:hAnsi="Arial" w:cs="Arial"/>
                <w:sz w:val="16"/>
                <w:szCs w:val="16"/>
              </w:rPr>
            </w:pPr>
            <w:r w:rsidRPr="007772D9">
              <w:rPr>
                <w:rFonts w:ascii="Arial" w:hAnsi="Arial" w:cs="Arial"/>
                <w:sz w:val="16"/>
                <w:szCs w:val="16"/>
              </w:rPr>
              <w:t>ILRI, ICRISAT, CIP</w:t>
            </w:r>
          </w:p>
        </w:tc>
        <w:tc>
          <w:tcPr>
            <w:tcW w:w="0" w:type="auto"/>
          </w:tcPr>
          <w:p w14:paraId="33980F33" w14:textId="77777777" w:rsidR="00E603C1" w:rsidRPr="007772D9" w:rsidRDefault="00E603C1" w:rsidP="00E603C1">
            <w:pPr>
              <w:rPr>
                <w:rFonts w:ascii="Arial" w:hAnsi="Arial" w:cs="Arial"/>
                <w:sz w:val="16"/>
                <w:szCs w:val="16"/>
              </w:rPr>
            </w:pPr>
            <w:r w:rsidRPr="007772D9">
              <w:rPr>
                <w:rFonts w:ascii="Arial" w:hAnsi="Arial" w:cs="Arial"/>
                <w:sz w:val="16"/>
                <w:szCs w:val="16"/>
              </w:rPr>
              <w:t>25 m.</w:t>
            </w:r>
          </w:p>
        </w:tc>
        <w:tc>
          <w:tcPr>
            <w:tcW w:w="0" w:type="auto"/>
          </w:tcPr>
          <w:p w14:paraId="6B8BF14A" w14:textId="69A5951B" w:rsidR="00E603C1" w:rsidRPr="007772D9" w:rsidRDefault="00E603C1" w:rsidP="00E603C1">
            <w:pPr>
              <w:rPr>
                <w:rFonts w:ascii="Arial" w:hAnsi="Arial" w:cs="Arial"/>
                <w:sz w:val="16"/>
                <w:szCs w:val="16"/>
              </w:rPr>
            </w:pPr>
            <w:r>
              <w:rPr>
                <w:rFonts w:ascii="Arial" w:hAnsi="Arial" w:cs="Arial"/>
                <w:sz w:val="16"/>
                <w:szCs w:val="16"/>
              </w:rPr>
              <w:t xml:space="preserve">Feed the Future- </w:t>
            </w:r>
            <w:r w:rsidRPr="007772D9">
              <w:rPr>
                <w:rFonts w:ascii="Arial" w:hAnsi="Arial" w:cs="Arial"/>
                <w:sz w:val="16"/>
                <w:szCs w:val="16"/>
              </w:rPr>
              <w:t>United States Agency for International Development</w:t>
            </w:r>
          </w:p>
        </w:tc>
      </w:tr>
      <w:tr w:rsidR="00E603C1" w:rsidRPr="007772D9" w14:paraId="0D2EBE1C" w14:textId="77777777" w:rsidTr="00E603C1">
        <w:tc>
          <w:tcPr>
            <w:tcW w:w="0" w:type="auto"/>
          </w:tcPr>
          <w:p w14:paraId="14C30BDE" w14:textId="77777777" w:rsidR="00E603C1" w:rsidRPr="007772D9" w:rsidRDefault="00E603C1" w:rsidP="00E603C1">
            <w:pPr>
              <w:rPr>
                <w:rFonts w:ascii="Arial" w:hAnsi="Arial" w:cs="Arial"/>
                <w:sz w:val="16"/>
                <w:szCs w:val="16"/>
              </w:rPr>
            </w:pPr>
            <w:r w:rsidRPr="007772D9">
              <w:rPr>
                <w:rFonts w:ascii="Arial" w:hAnsi="Arial" w:cs="Arial"/>
                <w:sz w:val="16"/>
                <w:szCs w:val="16"/>
              </w:rPr>
              <w:t>Malawi Improved Seed Systems and Technologies Project (MISST)</w:t>
            </w:r>
          </w:p>
        </w:tc>
        <w:tc>
          <w:tcPr>
            <w:tcW w:w="0" w:type="auto"/>
          </w:tcPr>
          <w:p w14:paraId="65683C4E" w14:textId="23DC51A4" w:rsidR="00E603C1" w:rsidRPr="007772D9" w:rsidRDefault="00E603C1" w:rsidP="00E603C1">
            <w:pPr>
              <w:rPr>
                <w:rFonts w:ascii="Arial" w:hAnsi="Arial" w:cs="Arial"/>
                <w:sz w:val="16"/>
                <w:szCs w:val="16"/>
              </w:rPr>
            </w:pPr>
            <w:r>
              <w:rPr>
                <w:rFonts w:ascii="Arial" w:hAnsi="Arial" w:cs="Arial"/>
                <w:sz w:val="16"/>
                <w:szCs w:val="16"/>
              </w:rPr>
              <w:t>220,000 households</w:t>
            </w:r>
          </w:p>
        </w:tc>
        <w:tc>
          <w:tcPr>
            <w:tcW w:w="0" w:type="auto"/>
          </w:tcPr>
          <w:p w14:paraId="00391376" w14:textId="6D5A657D" w:rsidR="00E603C1" w:rsidRPr="007772D9" w:rsidRDefault="00E603C1" w:rsidP="00E603C1">
            <w:pPr>
              <w:rPr>
                <w:rFonts w:ascii="Arial" w:hAnsi="Arial" w:cs="Arial"/>
                <w:sz w:val="16"/>
                <w:szCs w:val="16"/>
              </w:rPr>
            </w:pPr>
            <w:r w:rsidRPr="007772D9">
              <w:rPr>
                <w:rFonts w:ascii="Arial" w:hAnsi="Arial" w:cs="Arial"/>
                <w:sz w:val="16"/>
                <w:szCs w:val="16"/>
              </w:rPr>
              <w:t>14,500 tons of seed</w:t>
            </w:r>
          </w:p>
        </w:tc>
        <w:tc>
          <w:tcPr>
            <w:tcW w:w="0" w:type="auto"/>
          </w:tcPr>
          <w:p w14:paraId="19AAF22E" w14:textId="5D2852BC" w:rsidR="00E603C1" w:rsidRPr="007772D9" w:rsidRDefault="00E603C1" w:rsidP="00E603C1">
            <w:pPr>
              <w:rPr>
                <w:rFonts w:ascii="Arial" w:hAnsi="Arial" w:cs="Arial"/>
                <w:sz w:val="16"/>
                <w:szCs w:val="16"/>
              </w:rPr>
            </w:pPr>
            <w:r w:rsidRPr="007772D9">
              <w:rPr>
                <w:rFonts w:ascii="Arial" w:hAnsi="Arial" w:cs="Arial"/>
                <w:sz w:val="16"/>
                <w:szCs w:val="16"/>
              </w:rPr>
              <w:t>2014-2019</w:t>
            </w:r>
          </w:p>
        </w:tc>
        <w:tc>
          <w:tcPr>
            <w:tcW w:w="0" w:type="auto"/>
          </w:tcPr>
          <w:p w14:paraId="19845866" w14:textId="77777777" w:rsidR="00E603C1" w:rsidRPr="007772D9" w:rsidRDefault="00E603C1" w:rsidP="00E603C1">
            <w:pPr>
              <w:rPr>
                <w:rFonts w:ascii="Arial" w:hAnsi="Arial" w:cs="Arial"/>
                <w:sz w:val="16"/>
                <w:szCs w:val="16"/>
              </w:rPr>
            </w:pPr>
            <w:r w:rsidRPr="007772D9">
              <w:rPr>
                <w:rFonts w:ascii="Arial" w:hAnsi="Arial" w:cs="Arial"/>
                <w:sz w:val="16"/>
                <w:szCs w:val="16"/>
              </w:rPr>
              <w:t xml:space="preserve">Malawi </w:t>
            </w:r>
          </w:p>
          <w:p w14:paraId="4E19A0D5" w14:textId="2EF21268" w:rsidR="00E603C1" w:rsidRPr="007772D9" w:rsidRDefault="00E603C1" w:rsidP="00E603C1">
            <w:pPr>
              <w:rPr>
                <w:rFonts w:ascii="Arial" w:hAnsi="Arial" w:cs="Arial"/>
                <w:sz w:val="16"/>
                <w:szCs w:val="16"/>
              </w:rPr>
            </w:pPr>
            <w:r w:rsidRPr="007772D9">
              <w:rPr>
                <w:rFonts w:ascii="Arial" w:hAnsi="Arial" w:cs="Arial"/>
                <w:sz w:val="16"/>
                <w:szCs w:val="16"/>
              </w:rPr>
              <w:t xml:space="preserve">(7 districts, later increased to 10) </w:t>
            </w:r>
          </w:p>
        </w:tc>
        <w:tc>
          <w:tcPr>
            <w:tcW w:w="0" w:type="auto"/>
          </w:tcPr>
          <w:p w14:paraId="483BE837" w14:textId="77777777" w:rsidR="00E603C1" w:rsidRPr="007772D9" w:rsidRDefault="00E603C1" w:rsidP="00E603C1">
            <w:pPr>
              <w:rPr>
                <w:rFonts w:ascii="Arial" w:hAnsi="Arial" w:cs="Arial"/>
                <w:sz w:val="16"/>
                <w:szCs w:val="16"/>
              </w:rPr>
            </w:pPr>
            <w:r w:rsidRPr="007772D9">
              <w:rPr>
                <w:rFonts w:ascii="Arial" w:hAnsi="Arial" w:cs="Arial"/>
                <w:sz w:val="16"/>
                <w:szCs w:val="16"/>
              </w:rPr>
              <w:t xml:space="preserve">Maize, sweet potato, </w:t>
            </w:r>
            <w:proofErr w:type="spellStart"/>
            <w:r w:rsidRPr="007772D9">
              <w:rPr>
                <w:rFonts w:ascii="Arial" w:hAnsi="Arial" w:cs="Arial"/>
                <w:sz w:val="16"/>
                <w:szCs w:val="16"/>
              </w:rPr>
              <w:t>pigeonpea</w:t>
            </w:r>
            <w:proofErr w:type="spellEnd"/>
            <w:r w:rsidRPr="007772D9">
              <w:rPr>
                <w:rFonts w:ascii="Arial" w:hAnsi="Arial" w:cs="Arial"/>
                <w:sz w:val="16"/>
                <w:szCs w:val="16"/>
              </w:rPr>
              <w:t>, groundnuts, soybean, biological control</w:t>
            </w:r>
          </w:p>
        </w:tc>
        <w:tc>
          <w:tcPr>
            <w:tcW w:w="0" w:type="auto"/>
          </w:tcPr>
          <w:p w14:paraId="1CDE6979" w14:textId="77777777" w:rsidR="00E603C1" w:rsidRPr="007772D9" w:rsidRDefault="00E603C1" w:rsidP="00E603C1">
            <w:pPr>
              <w:rPr>
                <w:rFonts w:ascii="Arial" w:hAnsi="Arial" w:cs="Arial"/>
                <w:sz w:val="16"/>
                <w:szCs w:val="16"/>
              </w:rPr>
            </w:pPr>
            <w:r w:rsidRPr="007772D9">
              <w:rPr>
                <w:rFonts w:ascii="Arial" w:hAnsi="Arial" w:cs="Arial"/>
                <w:sz w:val="16"/>
                <w:szCs w:val="16"/>
              </w:rPr>
              <w:t>ICRISAT, CIP</w:t>
            </w:r>
          </w:p>
        </w:tc>
        <w:tc>
          <w:tcPr>
            <w:tcW w:w="0" w:type="auto"/>
          </w:tcPr>
          <w:p w14:paraId="1B80FDCF" w14:textId="190C7F9E" w:rsidR="00E603C1" w:rsidRPr="007772D9" w:rsidRDefault="00E603C1" w:rsidP="00E603C1">
            <w:pPr>
              <w:rPr>
                <w:rFonts w:ascii="Arial" w:hAnsi="Arial" w:cs="Arial"/>
                <w:sz w:val="16"/>
                <w:szCs w:val="16"/>
              </w:rPr>
            </w:pPr>
            <w:r w:rsidRPr="007772D9">
              <w:rPr>
                <w:rFonts w:ascii="Arial" w:hAnsi="Arial" w:cs="Arial"/>
                <w:sz w:val="16"/>
                <w:szCs w:val="16"/>
              </w:rPr>
              <w:t>18.6 m.</w:t>
            </w:r>
          </w:p>
        </w:tc>
        <w:tc>
          <w:tcPr>
            <w:tcW w:w="0" w:type="auto"/>
          </w:tcPr>
          <w:p w14:paraId="3E95A02D" w14:textId="5005719C" w:rsidR="00E603C1" w:rsidRPr="007772D9" w:rsidRDefault="00E603C1" w:rsidP="00E603C1">
            <w:pPr>
              <w:rPr>
                <w:rFonts w:ascii="Arial" w:hAnsi="Arial" w:cs="Arial"/>
                <w:sz w:val="16"/>
                <w:szCs w:val="16"/>
              </w:rPr>
            </w:pPr>
            <w:r>
              <w:rPr>
                <w:rFonts w:ascii="Arial" w:hAnsi="Arial" w:cs="Arial"/>
                <w:sz w:val="16"/>
                <w:szCs w:val="16"/>
              </w:rPr>
              <w:t xml:space="preserve">Feed the Future- </w:t>
            </w:r>
            <w:r w:rsidRPr="007772D9">
              <w:rPr>
                <w:rFonts w:ascii="Arial" w:hAnsi="Arial" w:cs="Arial"/>
                <w:sz w:val="16"/>
                <w:szCs w:val="16"/>
              </w:rPr>
              <w:t>United States Agency for International Development</w:t>
            </w:r>
          </w:p>
        </w:tc>
      </w:tr>
    </w:tbl>
    <w:p w14:paraId="553FF0E4" w14:textId="5776F474" w:rsidR="00434CB9" w:rsidRDefault="00434CB9" w:rsidP="00434CB9">
      <w:r>
        <w:t xml:space="preserve">Sources: </w:t>
      </w:r>
      <w:r w:rsidR="001B0976">
        <w:t>ICRISAT (2013), ICRISAT (2014), ILRI (201</w:t>
      </w:r>
      <w:r w:rsidR="00F903DC">
        <w:t>5</w:t>
      </w:r>
      <w:r w:rsidR="001B0976">
        <w:t>)</w:t>
      </w:r>
      <w:r w:rsidR="00F903DC">
        <w:t xml:space="preserve">, </w:t>
      </w:r>
      <w:proofErr w:type="spellStart"/>
      <w:r w:rsidR="00F903DC">
        <w:t>Akinwale</w:t>
      </w:r>
      <w:proofErr w:type="spellEnd"/>
      <w:r w:rsidR="00F903DC">
        <w:t xml:space="preserve"> et. al. (2016)</w:t>
      </w:r>
      <w:r w:rsidR="001B0976">
        <w:t>.</w:t>
      </w:r>
    </w:p>
    <w:p w14:paraId="1292EC9B" w14:textId="77777777" w:rsidR="00434CB9" w:rsidRDefault="00434CB9" w:rsidP="006D3934">
      <w:pPr>
        <w:pStyle w:val="Footer"/>
        <w:jc w:val="both"/>
        <w:rPr>
          <w:rFonts w:ascii="Arial" w:hAnsi="Arial" w:cs="Arial"/>
        </w:rPr>
      </w:pPr>
    </w:p>
    <w:p w14:paraId="505885A4" w14:textId="3C04C103" w:rsidR="006B0659" w:rsidRDefault="004B140E" w:rsidP="0012492B">
      <w:pPr>
        <w:pStyle w:val="Footer"/>
        <w:jc w:val="both"/>
        <w:rPr>
          <w:rFonts w:ascii="Arial" w:hAnsi="Arial" w:cs="Arial"/>
        </w:rPr>
      </w:pPr>
      <w:r>
        <w:rPr>
          <w:rFonts w:ascii="Arial" w:hAnsi="Arial" w:cs="Arial"/>
        </w:rPr>
        <w:t xml:space="preserve">Information on project design and performance was obtained from relevant </w:t>
      </w:r>
      <w:r w:rsidR="0012492B">
        <w:rPr>
          <w:rFonts w:ascii="Arial" w:hAnsi="Arial" w:cs="Arial"/>
        </w:rPr>
        <w:t>project documents</w:t>
      </w:r>
      <w:r>
        <w:rPr>
          <w:rFonts w:ascii="Arial" w:hAnsi="Arial" w:cs="Arial"/>
        </w:rPr>
        <w:t>.</w:t>
      </w:r>
      <w:r w:rsidR="0007278E">
        <w:rPr>
          <w:rFonts w:ascii="Arial" w:hAnsi="Arial" w:cs="Arial"/>
        </w:rPr>
        <w:t xml:space="preserve"> </w:t>
      </w:r>
      <w:r>
        <w:rPr>
          <w:rFonts w:ascii="Arial" w:hAnsi="Arial" w:cs="Arial"/>
        </w:rPr>
        <w:t>For TL III, i</w:t>
      </w:r>
      <w:r w:rsidR="0007278E">
        <w:rPr>
          <w:rFonts w:ascii="Arial" w:hAnsi="Arial" w:cs="Arial"/>
        </w:rPr>
        <w:t>nformation was obtained from the project proposal (ICRISAT, 201</w:t>
      </w:r>
      <w:r w:rsidR="00ED02F8">
        <w:rPr>
          <w:rFonts w:ascii="Arial" w:hAnsi="Arial" w:cs="Arial"/>
        </w:rPr>
        <w:t>3</w:t>
      </w:r>
      <w:r w:rsidR="0007278E">
        <w:rPr>
          <w:rFonts w:ascii="Arial" w:hAnsi="Arial" w:cs="Arial"/>
        </w:rPr>
        <w:t xml:space="preserve">) and </w:t>
      </w:r>
      <w:r>
        <w:rPr>
          <w:rFonts w:ascii="Arial" w:hAnsi="Arial" w:cs="Arial"/>
        </w:rPr>
        <w:t xml:space="preserve">publications </w:t>
      </w:r>
      <w:r w:rsidR="0007278E">
        <w:rPr>
          <w:rFonts w:ascii="Arial" w:hAnsi="Arial" w:cs="Arial"/>
        </w:rPr>
        <w:t>(Varsh</w:t>
      </w:r>
      <w:r w:rsidR="004B497B">
        <w:rPr>
          <w:rFonts w:ascii="Arial" w:hAnsi="Arial" w:cs="Arial"/>
        </w:rPr>
        <w:t>n</w:t>
      </w:r>
      <w:r w:rsidR="0007278E">
        <w:rPr>
          <w:rFonts w:ascii="Arial" w:hAnsi="Arial" w:cs="Arial"/>
        </w:rPr>
        <w:t>ey</w:t>
      </w:r>
      <w:r w:rsidR="00ED02F8">
        <w:rPr>
          <w:rFonts w:ascii="Arial" w:hAnsi="Arial" w:cs="Arial"/>
        </w:rPr>
        <w:t xml:space="preserve">, </w:t>
      </w:r>
      <w:r w:rsidR="0007278E">
        <w:rPr>
          <w:rFonts w:ascii="Arial" w:hAnsi="Arial" w:cs="Arial"/>
        </w:rPr>
        <w:t>2019</w:t>
      </w:r>
      <w:r w:rsidR="00ED02F8">
        <w:rPr>
          <w:rFonts w:ascii="Arial" w:hAnsi="Arial" w:cs="Arial"/>
        </w:rPr>
        <w:t xml:space="preserve">; </w:t>
      </w:r>
      <w:proofErr w:type="spellStart"/>
      <w:r w:rsidR="00ED02F8">
        <w:rPr>
          <w:rFonts w:ascii="Arial" w:hAnsi="Arial" w:cs="Arial"/>
        </w:rPr>
        <w:t>Rubyogo</w:t>
      </w:r>
      <w:proofErr w:type="spellEnd"/>
      <w:r w:rsidR="00ED02F8">
        <w:rPr>
          <w:rFonts w:ascii="Arial" w:hAnsi="Arial" w:cs="Arial"/>
        </w:rPr>
        <w:t xml:space="preserve"> et. al., 2019</w:t>
      </w:r>
      <w:r w:rsidR="0007278E">
        <w:rPr>
          <w:rFonts w:ascii="Arial" w:hAnsi="Arial" w:cs="Arial"/>
        </w:rPr>
        <w:t xml:space="preserve">). </w:t>
      </w:r>
      <w:r w:rsidR="00ED02F8">
        <w:rPr>
          <w:rFonts w:ascii="Arial" w:hAnsi="Arial" w:cs="Arial"/>
        </w:rPr>
        <w:t>I</w:t>
      </w:r>
      <w:r w:rsidR="0007278E">
        <w:rPr>
          <w:rFonts w:ascii="Arial" w:hAnsi="Arial" w:cs="Arial"/>
        </w:rPr>
        <w:t xml:space="preserve">nformation </w:t>
      </w:r>
      <w:r w:rsidR="004B497B">
        <w:rPr>
          <w:rFonts w:ascii="Arial" w:hAnsi="Arial" w:cs="Arial"/>
        </w:rPr>
        <w:t xml:space="preserve">for HOPE 2 </w:t>
      </w:r>
      <w:r w:rsidR="0007278E">
        <w:rPr>
          <w:rFonts w:ascii="Arial" w:hAnsi="Arial" w:cs="Arial"/>
        </w:rPr>
        <w:t>was obtained from the project proposal</w:t>
      </w:r>
      <w:r w:rsidR="004B497B">
        <w:rPr>
          <w:rFonts w:ascii="Arial" w:hAnsi="Arial" w:cs="Arial"/>
        </w:rPr>
        <w:t xml:space="preserve"> (ICRISAT, 2014)</w:t>
      </w:r>
      <w:r w:rsidR="0007278E">
        <w:rPr>
          <w:rFonts w:ascii="Arial" w:hAnsi="Arial" w:cs="Arial"/>
        </w:rPr>
        <w:t xml:space="preserve">. </w:t>
      </w:r>
      <w:r>
        <w:rPr>
          <w:rFonts w:ascii="Arial" w:hAnsi="Arial" w:cs="Arial"/>
        </w:rPr>
        <w:t xml:space="preserve">Since both </w:t>
      </w:r>
      <w:r w:rsidR="0007278E">
        <w:rPr>
          <w:rFonts w:ascii="Arial" w:hAnsi="Arial" w:cs="Arial"/>
        </w:rPr>
        <w:t xml:space="preserve">TL III and HOPE 2 </w:t>
      </w:r>
      <w:r>
        <w:rPr>
          <w:rFonts w:ascii="Arial" w:hAnsi="Arial" w:cs="Arial"/>
        </w:rPr>
        <w:t>have not yet ended</w:t>
      </w:r>
      <w:r w:rsidR="00F4573E">
        <w:rPr>
          <w:rFonts w:ascii="Arial" w:hAnsi="Arial" w:cs="Arial"/>
        </w:rPr>
        <w:t>, p</w:t>
      </w:r>
      <w:r>
        <w:rPr>
          <w:rFonts w:ascii="Arial" w:hAnsi="Arial" w:cs="Arial"/>
        </w:rPr>
        <w:t xml:space="preserve">roject completion reports </w:t>
      </w:r>
      <w:r w:rsidR="00F4573E">
        <w:rPr>
          <w:rFonts w:ascii="Arial" w:hAnsi="Arial" w:cs="Arial"/>
        </w:rPr>
        <w:t>were</w:t>
      </w:r>
      <w:r w:rsidR="0007278E">
        <w:rPr>
          <w:rFonts w:ascii="Arial" w:hAnsi="Arial" w:cs="Arial"/>
        </w:rPr>
        <w:t xml:space="preserve"> not yet available. For the AVCD project, both the project proposal (ILRI, 2016) and the </w:t>
      </w:r>
      <w:r w:rsidR="004B497B">
        <w:rPr>
          <w:rFonts w:ascii="Arial" w:hAnsi="Arial" w:cs="Arial"/>
        </w:rPr>
        <w:t xml:space="preserve">last annual </w:t>
      </w:r>
      <w:r w:rsidR="0007278E">
        <w:rPr>
          <w:rFonts w:ascii="Arial" w:hAnsi="Arial" w:cs="Arial"/>
        </w:rPr>
        <w:t>report were available (FTF-Kenya, 201</w:t>
      </w:r>
      <w:r w:rsidR="004B497B">
        <w:rPr>
          <w:rFonts w:ascii="Arial" w:hAnsi="Arial" w:cs="Arial"/>
        </w:rPr>
        <w:t>8</w:t>
      </w:r>
      <w:r w:rsidR="0007278E">
        <w:rPr>
          <w:rFonts w:ascii="Arial" w:hAnsi="Arial" w:cs="Arial"/>
        </w:rPr>
        <w:t>). For MISST, information was available from the project completion report (FTF-Malawi, 2019</w:t>
      </w:r>
      <w:r>
        <w:rPr>
          <w:rFonts w:ascii="Arial" w:hAnsi="Arial" w:cs="Arial"/>
        </w:rPr>
        <w:t>) and</w:t>
      </w:r>
      <w:r w:rsidR="004B497B">
        <w:rPr>
          <w:rFonts w:ascii="Arial" w:hAnsi="Arial" w:cs="Arial"/>
        </w:rPr>
        <w:t xml:space="preserve"> from</w:t>
      </w:r>
      <w:r>
        <w:rPr>
          <w:rFonts w:ascii="Arial" w:hAnsi="Arial" w:cs="Arial"/>
        </w:rPr>
        <w:t xml:space="preserve"> reporting on soybean (</w:t>
      </w:r>
      <w:proofErr w:type="spellStart"/>
      <w:r>
        <w:rPr>
          <w:rFonts w:ascii="Arial" w:hAnsi="Arial" w:cs="Arial"/>
        </w:rPr>
        <w:t>Akinwale</w:t>
      </w:r>
      <w:proofErr w:type="spellEnd"/>
      <w:r>
        <w:rPr>
          <w:rFonts w:ascii="Arial" w:hAnsi="Arial" w:cs="Arial"/>
        </w:rPr>
        <w:t xml:space="preserve"> et. al., 201</w:t>
      </w:r>
      <w:r w:rsidR="004B497B">
        <w:rPr>
          <w:rFonts w:ascii="Arial" w:hAnsi="Arial" w:cs="Arial"/>
        </w:rPr>
        <w:t>6</w:t>
      </w:r>
      <w:r>
        <w:rPr>
          <w:rFonts w:ascii="Arial" w:hAnsi="Arial" w:cs="Arial"/>
        </w:rPr>
        <w:t xml:space="preserve">). </w:t>
      </w:r>
      <w:r w:rsidR="006B0659">
        <w:rPr>
          <w:rFonts w:ascii="Arial" w:hAnsi="Arial" w:cs="Arial"/>
        </w:rPr>
        <w:t>I</w:t>
      </w:r>
      <w:r w:rsidR="0012492B">
        <w:rPr>
          <w:rFonts w:ascii="Arial" w:hAnsi="Arial" w:cs="Arial"/>
        </w:rPr>
        <w:t xml:space="preserve">n addition, </w:t>
      </w:r>
      <w:r>
        <w:rPr>
          <w:rFonts w:ascii="Arial" w:hAnsi="Arial" w:cs="Arial"/>
        </w:rPr>
        <w:t xml:space="preserve">information on lessons learned was gleaned from skype </w:t>
      </w:r>
      <w:r w:rsidR="0012492B">
        <w:rPr>
          <w:rFonts w:ascii="Arial" w:hAnsi="Arial" w:cs="Arial"/>
        </w:rPr>
        <w:t>interview</w:t>
      </w:r>
      <w:r>
        <w:rPr>
          <w:rFonts w:ascii="Arial" w:hAnsi="Arial" w:cs="Arial"/>
        </w:rPr>
        <w:t>s</w:t>
      </w:r>
      <w:r w:rsidR="0012492B">
        <w:rPr>
          <w:rFonts w:ascii="Arial" w:hAnsi="Arial" w:cs="Arial"/>
        </w:rPr>
        <w:t xml:space="preserve"> </w:t>
      </w:r>
      <w:r>
        <w:rPr>
          <w:rFonts w:ascii="Arial" w:hAnsi="Arial" w:cs="Arial"/>
        </w:rPr>
        <w:t xml:space="preserve">with </w:t>
      </w:r>
      <w:r w:rsidR="0012492B">
        <w:rPr>
          <w:rFonts w:ascii="Arial" w:hAnsi="Arial" w:cs="Arial"/>
        </w:rPr>
        <w:t>selected project personnel</w:t>
      </w:r>
      <w:r>
        <w:rPr>
          <w:rFonts w:ascii="Arial" w:hAnsi="Arial" w:cs="Arial"/>
        </w:rPr>
        <w:t>,</w:t>
      </w:r>
      <w:r w:rsidR="0012492B">
        <w:rPr>
          <w:rFonts w:ascii="Arial" w:hAnsi="Arial" w:cs="Arial"/>
        </w:rPr>
        <w:t xml:space="preserve"> including </w:t>
      </w:r>
      <w:r w:rsidR="006B0659">
        <w:rPr>
          <w:rFonts w:ascii="Arial" w:hAnsi="Arial" w:cs="Arial"/>
        </w:rPr>
        <w:t xml:space="preserve">Principal Investigators, </w:t>
      </w:r>
      <w:r>
        <w:rPr>
          <w:rFonts w:ascii="Arial" w:hAnsi="Arial" w:cs="Arial"/>
        </w:rPr>
        <w:t>p</w:t>
      </w:r>
      <w:r w:rsidR="006B20CA">
        <w:rPr>
          <w:rFonts w:ascii="Arial" w:hAnsi="Arial" w:cs="Arial"/>
        </w:rPr>
        <w:t xml:space="preserve">roject </w:t>
      </w:r>
      <w:r w:rsidR="006B0659">
        <w:rPr>
          <w:rFonts w:ascii="Arial" w:hAnsi="Arial" w:cs="Arial"/>
        </w:rPr>
        <w:t xml:space="preserve">managers, and </w:t>
      </w:r>
      <w:r w:rsidR="0012492B">
        <w:rPr>
          <w:rFonts w:ascii="Arial" w:hAnsi="Arial" w:cs="Arial"/>
        </w:rPr>
        <w:t xml:space="preserve">research scientists. </w:t>
      </w:r>
    </w:p>
    <w:p w14:paraId="040A2821" w14:textId="77777777" w:rsidR="00007080" w:rsidRDefault="00007080">
      <w:pPr>
        <w:rPr>
          <w:rFonts w:ascii="Arial" w:hAnsi="Arial" w:cs="Arial"/>
        </w:rPr>
      </w:pPr>
      <w:r>
        <w:rPr>
          <w:rFonts w:ascii="Arial" w:hAnsi="Arial" w:cs="Arial"/>
        </w:rPr>
        <w:br w:type="page"/>
      </w:r>
    </w:p>
    <w:p w14:paraId="6339A564" w14:textId="358AE3F1" w:rsidR="00A12660" w:rsidRDefault="00A12660" w:rsidP="006F4708">
      <w:pPr>
        <w:pStyle w:val="Footer"/>
        <w:rPr>
          <w:rFonts w:ascii="Arial" w:hAnsi="Arial" w:cs="Arial"/>
        </w:rPr>
      </w:pPr>
    </w:p>
    <w:p w14:paraId="2C575CA2" w14:textId="53C5F733" w:rsidR="00A12660" w:rsidRPr="00A12660" w:rsidRDefault="00007080" w:rsidP="00007080">
      <w:pPr>
        <w:pStyle w:val="Footer"/>
        <w:numPr>
          <w:ilvl w:val="0"/>
          <w:numId w:val="1"/>
        </w:numPr>
        <w:jc w:val="center"/>
        <w:rPr>
          <w:rFonts w:ascii="Arial" w:hAnsi="Arial" w:cs="Arial"/>
          <w:b/>
          <w:bCs/>
        </w:rPr>
      </w:pPr>
      <w:r>
        <w:rPr>
          <w:rFonts w:ascii="Arial" w:hAnsi="Arial" w:cs="Arial"/>
          <w:b/>
          <w:bCs/>
        </w:rPr>
        <w:t>The Scaling Framework and Project Design</w:t>
      </w:r>
    </w:p>
    <w:p w14:paraId="0112519F" w14:textId="0F5B7DCF" w:rsidR="006D3934" w:rsidRDefault="006D3934" w:rsidP="006F4708">
      <w:pPr>
        <w:pStyle w:val="Footer"/>
        <w:rPr>
          <w:rFonts w:ascii="Arial" w:hAnsi="Arial" w:cs="Arial"/>
        </w:rPr>
      </w:pPr>
    </w:p>
    <w:p w14:paraId="6109D034" w14:textId="09702397" w:rsidR="005C54CF" w:rsidRDefault="00007080" w:rsidP="005C54CF">
      <w:pPr>
        <w:pStyle w:val="Footer"/>
        <w:jc w:val="both"/>
        <w:rPr>
          <w:rFonts w:ascii="Arial" w:hAnsi="Arial" w:cs="Arial"/>
        </w:rPr>
      </w:pPr>
      <w:r w:rsidRPr="00EB74D9">
        <w:rPr>
          <w:rFonts w:ascii="Arial" w:hAnsi="Arial" w:cs="Arial"/>
        </w:rPr>
        <w:t xml:space="preserve">Table 2 maps the scaling framework against the </w:t>
      </w:r>
      <w:r w:rsidR="00F4573E">
        <w:rPr>
          <w:rFonts w:ascii="Arial" w:hAnsi="Arial" w:cs="Arial"/>
        </w:rPr>
        <w:t xml:space="preserve">design and scaling </w:t>
      </w:r>
      <w:r w:rsidRPr="00EB74D9">
        <w:rPr>
          <w:rFonts w:ascii="Arial" w:hAnsi="Arial" w:cs="Arial"/>
        </w:rPr>
        <w:t xml:space="preserve">methods </w:t>
      </w:r>
      <w:r w:rsidR="00F4573E">
        <w:rPr>
          <w:rFonts w:ascii="Arial" w:hAnsi="Arial" w:cs="Arial"/>
        </w:rPr>
        <w:t xml:space="preserve">of </w:t>
      </w:r>
      <w:r w:rsidRPr="00EB74D9">
        <w:rPr>
          <w:rFonts w:ascii="Arial" w:hAnsi="Arial" w:cs="Arial"/>
        </w:rPr>
        <w:t xml:space="preserve">the four projects. </w:t>
      </w:r>
      <w:r>
        <w:rPr>
          <w:rFonts w:ascii="Arial" w:hAnsi="Arial" w:cs="Arial"/>
        </w:rPr>
        <w:t xml:space="preserve">The contents are not intended to be exhaustive but to summarise the main features. </w:t>
      </w:r>
      <w:r w:rsidR="005C54CF">
        <w:rPr>
          <w:rFonts w:ascii="Arial" w:hAnsi="Arial" w:cs="Arial"/>
        </w:rPr>
        <w:t xml:space="preserve">The results show that the scaling framework captures the approach to scaling used by the four projects. Most scaling activities can be fitted into one of the </w:t>
      </w:r>
      <w:r w:rsidR="00F4573E">
        <w:rPr>
          <w:rFonts w:ascii="Arial" w:hAnsi="Arial" w:cs="Arial"/>
        </w:rPr>
        <w:t>nine</w:t>
      </w:r>
      <w:r w:rsidR="005C54CF">
        <w:rPr>
          <w:rFonts w:ascii="Arial" w:hAnsi="Arial" w:cs="Arial"/>
        </w:rPr>
        <w:t xml:space="preserve"> components of the framework. The advantage of </w:t>
      </w:r>
      <w:r w:rsidR="00F4573E">
        <w:rPr>
          <w:rFonts w:ascii="Arial" w:hAnsi="Arial" w:cs="Arial"/>
        </w:rPr>
        <w:t xml:space="preserve">the scaling </w:t>
      </w:r>
      <w:r w:rsidR="005C54CF">
        <w:rPr>
          <w:rFonts w:ascii="Arial" w:hAnsi="Arial" w:cs="Arial"/>
        </w:rPr>
        <w:t>framework is that</w:t>
      </w:r>
      <w:r w:rsidR="00F4573E">
        <w:rPr>
          <w:rFonts w:ascii="Arial" w:hAnsi="Arial" w:cs="Arial"/>
        </w:rPr>
        <w:t xml:space="preserve">, by combining separate components on one page, it gives planners </w:t>
      </w:r>
      <w:r w:rsidR="005C54CF">
        <w:rPr>
          <w:rFonts w:ascii="Arial" w:hAnsi="Arial" w:cs="Arial"/>
        </w:rPr>
        <w:t>a clea</w:t>
      </w:r>
      <w:r w:rsidR="00F4573E">
        <w:rPr>
          <w:rFonts w:ascii="Arial" w:hAnsi="Arial" w:cs="Arial"/>
        </w:rPr>
        <w:t xml:space="preserve">rer picture of the overall project and the </w:t>
      </w:r>
      <w:r w:rsidR="005C54CF">
        <w:rPr>
          <w:rFonts w:ascii="Arial" w:hAnsi="Arial" w:cs="Arial"/>
        </w:rPr>
        <w:t xml:space="preserve">methods that </w:t>
      </w:r>
      <w:r w:rsidR="00F4573E">
        <w:rPr>
          <w:rFonts w:ascii="Arial" w:hAnsi="Arial" w:cs="Arial"/>
        </w:rPr>
        <w:t xml:space="preserve">will be used </w:t>
      </w:r>
      <w:r w:rsidR="005C54CF">
        <w:rPr>
          <w:rFonts w:ascii="Arial" w:hAnsi="Arial" w:cs="Arial"/>
        </w:rPr>
        <w:t xml:space="preserve">to address each component of the scaling process. This is not to claim that the framework includes everything </w:t>
      </w:r>
      <w:r w:rsidR="00F4573E">
        <w:rPr>
          <w:rFonts w:ascii="Arial" w:hAnsi="Arial" w:cs="Arial"/>
        </w:rPr>
        <w:t xml:space="preserve">required for scaling, </w:t>
      </w:r>
      <w:r w:rsidR="005C54CF">
        <w:rPr>
          <w:rFonts w:ascii="Arial" w:hAnsi="Arial" w:cs="Arial"/>
        </w:rPr>
        <w:t>but that it is sufficiently comprehensive to be a useful planning tool for scaling projects.</w:t>
      </w:r>
    </w:p>
    <w:p w14:paraId="0134BECC" w14:textId="77777777" w:rsidR="00007080" w:rsidRPr="00EB74D9" w:rsidRDefault="00007080" w:rsidP="00007080">
      <w:pPr>
        <w:pStyle w:val="Footer"/>
        <w:jc w:val="both"/>
        <w:rPr>
          <w:rFonts w:ascii="Arial" w:hAnsi="Arial" w:cs="Arial"/>
        </w:rPr>
      </w:pPr>
    </w:p>
    <w:p w14:paraId="2BFDBB4F" w14:textId="77777777" w:rsidR="0061261D" w:rsidRPr="00D07EBF" w:rsidRDefault="0061261D" w:rsidP="0061261D">
      <w:pPr>
        <w:rPr>
          <w:rFonts w:ascii="Arial" w:hAnsi="Arial" w:cs="Arial"/>
          <w:b/>
          <w:bCs/>
        </w:rPr>
      </w:pPr>
      <w:r w:rsidRPr="00D07EBF">
        <w:rPr>
          <w:rFonts w:ascii="Arial" w:hAnsi="Arial" w:cs="Arial"/>
          <w:b/>
          <w:bCs/>
        </w:rPr>
        <w:t xml:space="preserve">Table 2. </w:t>
      </w:r>
      <w:r>
        <w:rPr>
          <w:rFonts w:ascii="Arial" w:hAnsi="Arial" w:cs="Arial"/>
          <w:b/>
          <w:bCs/>
        </w:rPr>
        <w:t>GLDC s</w:t>
      </w:r>
      <w:r w:rsidRPr="00D07EBF">
        <w:rPr>
          <w:rFonts w:ascii="Arial" w:hAnsi="Arial" w:cs="Arial"/>
          <w:b/>
          <w:bCs/>
        </w:rPr>
        <w:t xml:space="preserve">caling framework and design of case study projects </w:t>
      </w:r>
    </w:p>
    <w:tbl>
      <w:tblPr>
        <w:tblStyle w:val="TableGrid"/>
        <w:tblW w:w="0" w:type="auto"/>
        <w:tblLook w:val="04A0" w:firstRow="1" w:lastRow="0" w:firstColumn="1" w:lastColumn="0" w:noHBand="0" w:noVBand="1"/>
      </w:tblPr>
      <w:tblGrid>
        <w:gridCol w:w="1712"/>
        <w:gridCol w:w="1685"/>
        <w:gridCol w:w="1843"/>
        <w:gridCol w:w="2126"/>
        <w:gridCol w:w="1650"/>
      </w:tblGrid>
      <w:tr w:rsidR="0061261D" w:rsidRPr="008B464F" w14:paraId="5BD01C39" w14:textId="77777777" w:rsidTr="002900FE">
        <w:tc>
          <w:tcPr>
            <w:tcW w:w="1712" w:type="dxa"/>
            <w:vMerge w:val="restart"/>
          </w:tcPr>
          <w:p w14:paraId="40077EA5" w14:textId="77777777" w:rsidR="0061261D" w:rsidRPr="008B464F" w:rsidRDefault="0061261D" w:rsidP="002900FE">
            <w:pPr>
              <w:rPr>
                <w:rFonts w:ascii="Arial" w:hAnsi="Arial" w:cs="Arial"/>
                <w:sz w:val="18"/>
                <w:szCs w:val="18"/>
              </w:rPr>
            </w:pPr>
            <w:r w:rsidRPr="008B464F">
              <w:rPr>
                <w:rFonts w:ascii="Arial" w:hAnsi="Arial" w:cs="Arial"/>
                <w:sz w:val="18"/>
                <w:szCs w:val="18"/>
              </w:rPr>
              <w:t xml:space="preserve">Scaling Framework </w:t>
            </w:r>
          </w:p>
        </w:tc>
        <w:tc>
          <w:tcPr>
            <w:tcW w:w="7304" w:type="dxa"/>
            <w:gridSpan w:val="4"/>
          </w:tcPr>
          <w:p w14:paraId="7A925B93" w14:textId="77777777" w:rsidR="0061261D" w:rsidRPr="008B464F" w:rsidRDefault="0061261D" w:rsidP="002900FE">
            <w:pPr>
              <w:jc w:val="center"/>
              <w:rPr>
                <w:rFonts w:ascii="Arial" w:hAnsi="Arial" w:cs="Arial"/>
                <w:sz w:val="18"/>
                <w:szCs w:val="18"/>
              </w:rPr>
            </w:pPr>
            <w:r w:rsidRPr="008B464F">
              <w:rPr>
                <w:rFonts w:ascii="Arial" w:hAnsi="Arial" w:cs="Arial"/>
                <w:sz w:val="18"/>
                <w:szCs w:val="18"/>
              </w:rPr>
              <w:t>Case Study Projects</w:t>
            </w:r>
          </w:p>
        </w:tc>
      </w:tr>
      <w:tr w:rsidR="0061261D" w:rsidRPr="008B464F" w14:paraId="17EAFEDB" w14:textId="77777777" w:rsidTr="002900FE">
        <w:tc>
          <w:tcPr>
            <w:tcW w:w="1712" w:type="dxa"/>
            <w:vMerge/>
          </w:tcPr>
          <w:p w14:paraId="59D7A06E" w14:textId="77777777" w:rsidR="0061261D" w:rsidRPr="008B464F" w:rsidRDefault="0061261D" w:rsidP="002900FE">
            <w:pPr>
              <w:rPr>
                <w:rFonts w:ascii="Arial" w:hAnsi="Arial" w:cs="Arial"/>
                <w:sz w:val="18"/>
                <w:szCs w:val="18"/>
              </w:rPr>
            </w:pPr>
          </w:p>
        </w:tc>
        <w:tc>
          <w:tcPr>
            <w:tcW w:w="1685" w:type="dxa"/>
          </w:tcPr>
          <w:p w14:paraId="4032811D" w14:textId="77777777" w:rsidR="0061261D" w:rsidRPr="008B464F" w:rsidRDefault="0061261D" w:rsidP="002900FE">
            <w:pPr>
              <w:jc w:val="center"/>
              <w:rPr>
                <w:rFonts w:ascii="Arial" w:hAnsi="Arial" w:cs="Arial"/>
                <w:sz w:val="18"/>
                <w:szCs w:val="18"/>
              </w:rPr>
            </w:pPr>
            <w:r w:rsidRPr="008B464F">
              <w:rPr>
                <w:rFonts w:ascii="Arial" w:hAnsi="Arial" w:cs="Arial"/>
                <w:sz w:val="18"/>
                <w:szCs w:val="18"/>
              </w:rPr>
              <w:t xml:space="preserve">HOPE </w:t>
            </w:r>
          </w:p>
        </w:tc>
        <w:tc>
          <w:tcPr>
            <w:tcW w:w="1843" w:type="dxa"/>
          </w:tcPr>
          <w:p w14:paraId="6C90179D" w14:textId="77777777" w:rsidR="0061261D" w:rsidRPr="008B464F" w:rsidRDefault="0061261D" w:rsidP="002900FE">
            <w:pPr>
              <w:jc w:val="center"/>
              <w:rPr>
                <w:rFonts w:ascii="Arial" w:hAnsi="Arial" w:cs="Arial"/>
                <w:sz w:val="18"/>
                <w:szCs w:val="18"/>
              </w:rPr>
            </w:pPr>
            <w:r w:rsidRPr="008B464F">
              <w:rPr>
                <w:rFonts w:ascii="Arial" w:hAnsi="Arial" w:cs="Arial"/>
                <w:sz w:val="18"/>
                <w:szCs w:val="18"/>
              </w:rPr>
              <w:t>TL III</w:t>
            </w:r>
          </w:p>
        </w:tc>
        <w:tc>
          <w:tcPr>
            <w:tcW w:w="2126" w:type="dxa"/>
          </w:tcPr>
          <w:p w14:paraId="6EE6D952" w14:textId="77777777" w:rsidR="0061261D" w:rsidRPr="008B464F" w:rsidRDefault="0061261D" w:rsidP="002900FE">
            <w:pPr>
              <w:jc w:val="center"/>
              <w:rPr>
                <w:rFonts w:ascii="Arial" w:hAnsi="Arial" w:cs="Arial"/>
                <w:sz w:val="18"/>
                <w:szCs w:val="18"/>
              </w:rPr>
            </w:pPr>
            <w:r w:rsidRPr="008B464F">
              <w:rPr>
                <w:rFonts w:ascii="Arial" w:hAnsi="Arial" w:cs="Arial"/>
                <w:sz w:val="18"/>
                <w:szCs w:val="18"/>
              </w:rPr>
              <w:t>AVCD</w:t>
            </w:r>
          </w:p>
        </w:tc>
        <w:tc>
          <w:tcPr>
            <w:tcW w:w="1650" w:type="dxa"/>
          </w:tcPr>
          <w:p w14:paraId="292BFF39" w14:textId="77777777" w:rsidR="0061261D" w:rsidRPr="008B464F" w:rsidRDefault="0061261D" w:rsidP="002900FE">
            <w:pPr>
              <w:jc w:val="center"/>
              <w:rPr>
                <w:rFonts w:ascii="Arial" w:hAnsi="Arial" w:cs="Arial"/>
                <w:sz w:val="18"/>
                <w:szCs w:val="18"/>
              </w:rPr>
            </w:pPr>
            <w:r w:rsidRPr="008B464F">
              <w:rPr>
                <w:rFonts w:ascii="Arial" w:hAnsi="Arial" w:cs="Arial"/>
                <w:sz w:val="18"/>
                <w:szCs w:val="18"/>
              </w:rPr>
              <w:t>MISST</w:t>
            </w:r>
          </w:p>
        </w:tc>
      </w:tr>
      <w:tr w:rsidR="0061261D" w:rsidRPr="008B464F" w14:paraId="79ADF594" w14:textId="77777777" w:rsidTr="002900FE">
        <w:tc>
          <w:tcPr>
            <w:tcW w:w="1712" w:type="dxa"/>
          </w:tcPr>
          <w:p w14:paraId="2D3FE689" w14:textId="77777777" w:rsidR="0061261D" w:rsidRPr="008B464F" w:rsidRDefault="0061261D" w:rsidP="002900FE">
            <w:pPr>
              <w:rPr>
                <w:rFonts w:ascii="Arial" w:hAnsi="Arial" w:cs="Arial"/>
                <w:sz w:val="18"/>
                <w:szCs w:val="18"/>
              </w:rPr>
            </w:pPr>
            <w:proofErr w:type="gramStart"/>
            <w:r w:rsidRPr="008B464F">
              <w:rPr>
                <w:rFonts w:ascii="Arial" w:hAnsi="Arial" w:cs="Arial"/>
                <w:sz w:val="18"/>
                <w:szCs w:val="18"/>
              </w:rPr>
              <w:t xml:space="preserve">Farmer  </w:t>
            </w:r>
            <w:r>
              <w:rPr>
                <w:rFonts w:ascii="Arial" w:hAnsi="Arial" w:cs="Arial"/>
                <w:sz w:val="18"/>
                <w:szCs w:val="18"/>
              </w:rPr>
              <w:t>p</w:t>
            </w:r>
            <w:r w:rsidRPr="008B464F">
              <w:rPr>
                <w:rFonts w:ascii="Arial" w:hAnsi="Arial" w:cs="Arial"/>
                <w:sz w:val="18"/>
                <w:szCs w:val="18"/>
              </w:rPr>
              <w:t>references</w:t>
            </w:r>
            <w:proofErr w:type="gramEnd"/>
          </w:p>
          <w:p w14:paraId="077BDA7C" w14:textId="77777777" w:rsidR="0061261D" w:rsidRPr="008B464F" w:rsidRDefault="0061261D" w:rsidP="002900FE">
            <w:pPr>
              <w:rPr>
                <w:rFonts w:ascii="Arial" w:hAnsi="Arial" w:cs="Arial"/>
                <w:sz w:val="18"/>
                <w:szCs w:val="18"/>
              </w:rPr>
            </w:pPr>
          </w:p>
          <w:p w14:paraId="357969D1" w14:textId="77777777" w:rsidR="0061261D" w:rsidRPr="008B464F" w:rsidRDefault="0061261D" w:rsidP="002900FE">
            <w:pPr>
              <w:rPr>
                <w:rFonts w:ascii="Arial" w:hAnsi="Arial" w:cs="Arial"/>
                <w:sz w:val="18"/>
                <w:szCs w:val="18"/>
              </w:rPr>
            </w:pPr>
          </w:p>
          <w:p w14:paraId="0DDD3532" w14:textId="77777777" w:rsidR="0061261D" w:rsidRPr="008B464F" w:rsidRDefault="0061261D" w:rsidP="002900FE">
            <w:pPr>
              <w:rPr>
                <w:rFonts w:ascii="Arial" w:hAnsi="Arial" w:cs="Arial"/>
                <w:sz w:val="18"/>
                <w:szCs w:val="18"/>
              </w:rPr>
            </w:pPr>
          </w:p>
          <w:p w14:paraId="7A4E7077" w14:textId="77777777" w:rsidR="0061261D" w:rsidRPr="008B464F" w:rsidRDefault="0061261D" w:rsidP="002900FE">
            <w:pPr>
              <w:rPr>
                <w:rFonts w:ascii="Arial" w:hAnsi="Arial" w:cs="Arial"/>
                <w:sz w:val="18"/>
                <w:szCs w:val="18"/>
              </w:rPr>
            </w:pPr>
          </w:p>
        </w:tc>
        <w:tc>
          <w:tcPr>
            <w:tcW w:w="1685" w:type="dxa"/>
          </w:tcPr>
          <w:p w14:paraId="2E3D7300" w14:textId="77777777" w:rsidR="0061261D" w:rsidRPr="008B464F" w:rsidRDefault="0061261D" w:rsidP="002900FE">
            <w:pPr>
              <w:rPr>
                <w:rFonts w:ascii="Arial" w:hAnsi="Arial" w:cs="Arial"/>
                <w:sz w:val="18"/>
                <w:szCs w:val="18"/>
              </w:rPr>
            </w:pPr>
            <w:r>
              <w:rPr>
                <w:rFonts w:ascii="Arial" w:hAnsi="Arial" w:cs="Arial"/>
                <w:sz w:val="18"/>
                <w:szCs w:val="18"/>
              </w:rPr>
              <w:t>Farmer Participatory Varietal Selection (FPVS)</w:t>
            </w:r>
          </w:p>
          <w:p w14:paraId="0671A4E4" w14:textId="77777777" w:rsidR="0061261D" w:rsidRPr="008B464F" w:rsidRDefault="0061261D" w:rsidP="002900FE">
            <w:pPr>
              <w:rPr>
                <w:rFonts w:ascii="Arial" w:hAnsi="Arial" w:cs="Arial"/>
                <w:sz w:val="18"/>
                <w:szCs w:val="18"/>
              </w:rPr>
            </w:pPr>
            <w:r w:rsidRPr="008B464F">
              <w:rPr>
                <w:rFonts w:ascii="Arial" w:hAnsi="Arial" w:cs="Arial"/>
                <w:sz w:val="18"/>
                <w:szCs w:val="18"/>
              </w:rPr>
              <w:t xml:space="preserve">National </w:t>
            </w:r>
            <w:r>
              <w:rPr>
                <w:rFonts w:ascii="Arial" w:hAnsi="Arial" w:cs="Arial"/>
                <w:sz w:val="18"/>
                <w:szCs w:val="18"/>
              </w:rPr>
              <w:t xml:space="preserve">crop </w:t>
            </w:r>
            <w:r w:rsidRPr="008B464F">
              <w:rPr>
                <w:rFonts w:ascii="Arial" w:hAnsi="Arial" w:cs="Arial"/>
                <w:sz w:val="18"/>
                <w:szCs w:val="18"/>
              </w:rPr>
              <w:t>strategies</w:t>
            </w:r>
          </w:p>
        </w:tc>
        <w:tc>
          <w:tcPr>
            <w:tcW w:w="1843" w:type="dxa"/>
          </w:tcPr>
          <w:p w14:paraId="50CF62CB" w14:textId="77777777" w:rsidR="0061261D" w:rsidRPr="008B464F" w:rsidRDefault="0061261D" w:rsidP="002900FE">
            <w:pPr>
              <w:rPr>
                <w:rFonts w:ascii="Arial" w:hAnsi="Arial" w:cs="Arial"/>
                <w:sz w:val="18"/>
                <w:szCs w:val="18"/>
              </w:rPr>
            </w:pPr>
            <w:r>
              <w:rPr>
                <w:rFonts w:ascii="Arial" w:hAnsi="Arial" w:cs="Arial"/>
                <w:sz w:val="18"/>
                <w:szCs w:val="18"/>
              </w:rPr>
              <w:t>Farmer Participatory Varietal Selection (FPVS)</w:t>
            </w:r>
          </w:p>
          <w:p w14:paraId="3F0DE6C7" w14:textId="77777777" w:rsidR="0061261D" w:rsidRPr="008B464F" w:rsidRDefault="0061261D" w:rsidP="002900FE">
            <w:pPr>
              <w:rPr>
                <w:rFonts w:ascii="Arial" w:hAnsi="Arial" w:cs="Arial"/>
                <w:sz w:val="18"/>
                <w:szCs w:val="18"/>
              </w:rPr>
            </w:pPr>
            <w:r w:rsidRPr="008B464F">
              <w:rPr>
                <w:rFonts w:ascii="Arial" w:hAnsi="Arial" w:cs="Arial"/>
                <w:sz w:val="18"/>
                <w:szCs w:val="18"/>
              </w:rPr>
              <w:t xml:space="preserve">National </w:t>
            </w:r>
            <w:r>
              <w:rPr>
                <w:rFonts w:ascii="Arial" w:hAnsi="Arial" w:cs="Arial"/>
                <w:sz w:val="18"/>
                <w:szCs w:val="18"/>
              </w:rPr>
              <w:t xml:space="preserve">crop </w:t>
            </w:r>
            <w:r w:rsidRPr="008B464F">
              <w:rPr>
                <w:rFonts w:ascii="Arial" w:hAnsi="Arial" w:cs="Arial"/>
                <w:sz w:val="18"/>
                <w:szCs w:val="18"/>
              </w:rPr>
              <w:t>strategies</w:t>
            </w:r>
          </w:p>
        </w:tc>
        <w:tc>
          <w:tcPr>
            <w:tcW w:w="2126" w:type="dxa"/>
          </w:tcPr>
          <w:p w14:paraId="135B42C0" w14:textId="77777777" w:rsidR="0061261D" w:rsidRPr="008B464F" w:rsidRDefault="0061261D" w:rsidP="002900FE">
            <w:pPr>
              <w:rPr>
                <w:rFonts w:ascii="Arial" w:hAnsi="Arial" w:cs="Arial"/>
                <w:sz w:val="18"/>
                <w:szCs w:val="18"/>
              </w:rPr>
            </w:pPr>
            <w:r>
              <w:rPr>
                <w:rFonts w:ascii="Arial" w:hAnsi="Arial" w:cs="Arial"/>
                <w:sz w:val="18"/>
                <w:szCs w:val="18"/>
              </w:rPr>
              <w:t>Farmer Participatory Varietal Selection (FPVS) for potato and sweet potato</w:t>
            </w:r>
          </w:p>
          <w:p w14:paraId="2F1C8D27" w14:textId="77777777" w:rsidR="0061261D" w:rsidRPr="008B464F" w:rsidRDefault="0061261D" w:rsidP="002900FE">
            <w:pPr>
              <w:rPr>
                <w:rFonts w:ascii="Arial" w:hAnsi="Arial" w:cs="Arial"/>
                <w:sz w:val="18"/>
                <w:szCs w:val="18"/>
              </w:rPr>
            </w:pPr>
          </w:p>
        </w:tc>
        <w:tc>
          <w:tcPr>
            <w:tcW w:w="1650" w:type="dxa"/>
          </w:tcPr>
          <w:p w14:paraId="755FDCFE" w14:textId="3B786CD6" w:rsidR="0061261D" w:rsidRPr="008B464F" w:rsidRDefault="00B25393" w:rsidP="002900FE">
            <w:pPr>
              <w:rPr>
                <w:rFonts w:ascii="Arial" w:hAnsi="Arial" w:cs="Arial"/>
                <w:sz w:val="18"/>
                <w:szCs w:val="18"/>
              </w:rPr>
            </w:pPr>
            <w:r>
              <w:rPr>
                <w:rFonts w:ascii="Arial" w:hAnsi="Arial" w:cs="Arial"/>
                <w:sz w:val="18"/>
                <w:szCs w:val="18"/>
              </w:rPr>
              <w:t>Farmer evaluation at field days</w:t>
            </w:r>
          </w:p>
        </w:tc>
      </w:tr>
      <w:tr w:rsidR="0061261D" w:rsidRPr="008B464F" w14:paraId="54D2CD00" w14:textId="77777777" w:rsidTr="002900FE">
        <w:tc>
          <w:tcPr>
            <w:tcW w:w="1712" w:type="dxa"/>
          </w:tcPr>
          <w:p w14:paraId="21B331F8" w14:textId="77777777" w:rsidR="0061261D" w:rsidRPr="008B464F" w:rsidRDefault="0061261D" w:rsidP="002900FE">
            <w:pPr>
              <w:rPr>
                <w:rFonts w:ascii="Arial" w:hAnsi="Arial" w:cs="Arial"/>
                <w:sz w:val="18"/>
                <w:szCs w:val="18"/>
              </w:rPr>
            </w:pPr>
            <w:r w:rsidRPr="008B464F">
              <w:rPr>
                <w:rFonts w:ascii="Arial" w:hAnsi="Arial" w:cs="Arial"/>
                <w:sz w:val="18"/>
                <w:szCs w:val="18"/>
              </w:rPr>
              <w:t>Awareness and Ability</w:t>
            </w:r>
          </w:p>
          <w:p w14:paraId="7290ACAA" w14:textId="77777777" w:rsidR="0061261D" w:rsidRPr="008B464F" w:rsidRDefault="0061261D" w:rsidP="002900FE">
            <w:pPr>
              <w:rPr>
                <w:rFonts w:ascii="Arial" w:hAnsi="Arial" w:cs="Arial"/>
                <w:sz w:val="18"/>
                <w:szCs w:val="18"/>
              </w:rPr>
            </w:pPr>
          </w:p>
          <w:p w14:paraId="333CF117" w14:textId="77777777" w:rsidR="0061261D" w:rsidRPr="008B464F" w:rsidRDefault="0061261D" w:rsidP="002900FE">
            <w:pPr>
              <w:rPr>
                <w:rFonts w:ascii="Arial" w:hAnsi="Arial" w:cs="Arial"/>
                <w:sz w:val="18"/>
                <w:szCs w:val="18"/>
              </w:rPr>
            </w:pPr>
          </w:p>
          <w:p w14:paraId="43F9D898" w14:textId="77777777" w:rsidR="0061261D" w:rsidRPr="008B464F" w:rsidRDefault="0061261D" w:rsidP="002900FE">
            <w:pPr>
              <w:rPr>
                <w:rFonts w:ascii="Arial" w:hAnsi="Arial" w:cs="Arial"/>
                <w:sz w:val="18"/>
                <w:szCs w:val="18"/>
              </w:rPr>
            </w:pPr>
          </w:p>
          <w:p w14:paraId="62F725DE" w14:textId="77777777" w:rsidR="0061261D" w:rsidRPr="008B464F" w:rsidRDefault="0061261D" w:rsidP="002900FE">
            <w:pPr>
              <w:rPr>
                <w:rFonts w:ascii="Arial" w:hAnsi="Arial" w:cs="Arial"/>
                <w:sz w:val="18"/>
                <w:szCs w:val="18"/>
              </w:rPr>
            </w:pPr>
          </w:p>
        </w:tc>
        <w:tc>
          <w:tcPr>
            <w:tcW w:w="1685" w:type="dxa"/>
          </w:tcPr>
          <w:p w14:paraId="3E74B002" w14:textId="77777777" w:rsidR="0061261D" w:rsidRPr="008B464F" w:rsidRDefault="0061261D" w:rsidP="002900FE">
            <w:pPr>
              <w:rPr>
                <w:rFonts w:ascii="Arial" w:hAnsi="Arial" w:cs="Arial"/>
                <w:sz w:val="18"/>
                <w:szCs w:val="18"/>
              </w:rPr>
            </w:pPr>
            <w:r w:rsidRPr="008B464F">
              <w:rPr>
                <w:rFonts w:ascii="Arial" w:hAnsi="Arial" w:cs="Arial"/>
                <w:sz w:val="18"/>
                <w:szCs w:val="18"/>
              </w:rPr>
              <w:t>Seed Fairs</w:t>
            </w:r>
          </w:p>
          <w:p w14:paraId="1D9107F5" w14:textId="77777777" w:rsidR="0061261D" w:rsidRPr="008B464F" w:rsidRDefault="0061261D" w:rsidP="002900FE">
            <w:pPr>
              <w:rPr>
                <w:rFonts w:ascii="Arial" w:hAnsi="Arial" w:cs="Arial"/>
                <w:sz w:val="18"/>
                <w:szCs w:val="18"/>
              </w:rPr>
            </w:pPr>
            <w:r w:rsidRPr="008B464F">
              <w:rPr>
                <w:rFonts w:ascii="Arial" w:hAnsi="Arial" w:cs="Arial"/>
                <w:sz w:val="18"/>
                <w:szCs w:val="18"/>
              </w:rPr>
              <w:t>Field Days</w:t>
            </w:r>
          </w:p>
          <w:p w14:paraId="5FEB0391" w14:textId="77777777" w:rsidR="0061261D" w:rsidRPr="008B464F" w:rsidRDefault="0061261D" w:rsidP="002900FE">
            <w:pPr>
              <w:rPr>
                <w:rFonts w:ascii="Arial" w:hAnsi="Arial" w:cs="Arial"/>
                <w:sz w:val="18"/>
                <w:szCs w:val="18"/>
              </w:rPr>
            </w:pPr>
            <w:r w:rsidRPr="008B464F">
              <w:rPr>
                <w:rFonts w:ascii="Arial" w:hAnsi="Arial" w:cs="Arial"/>
                <w:sz w:val="18"/>
                <w:szCs w:val="18"/>
              </w:rPr>
              <w:t>Video</w:t>
            </w:r>
          </w:p>
          <w:p w14:paraId="63A67712" w14:textId="77777777" w:rsidR="0061261D" w:rsidRDefault="0061261D" w:rsidP="002900FE">
            <w:pPr>
              <w:rPr>
                <w:rFonts w:ascii="Arial" w:hAnsi="Arial" w:cs="Arial"/>
                <w:sz w:val="18"/>
                <w:szCs w:val="18"/>
              </w:rPr>
            </w:pPr>
            <w:r>
              <w:rPr>
                <w:rFonts w:ascii="Arial" w:hAnsi="Arial" w:cs="Arial"/>
                <w:sz w:val="18"/>
                <w:szCs w:val="18"/>
              </w:rPr>
              <w:t>Printed i</w:t>
            </w:r>
            <w:r w:rsidRPr="008B464F">
              <w:rPr>
                <w:rFonts w:ascii="Arial" w:hAnsi="Arial" w:cs="Arial"/>
                <w:sz w:val="18"/>
                <w:szCs w:val="18"/>
              </w:rPr>
              <w:t xml:space="preserve">nformation </w:t>
            </w:r>
            <w:r>
              <w:rPr>
                <w:rFonts w:ascii="Arial" w:hAnsi="Arial" w:cs="Arial"/>
                <w:sz w:val="18"/>
                <w:szCs w:val="18"/>
              </w:rPr>
              <w:t>in local languages</w:t>
            </w:r>
          </w:p>
          <w:p w14:paraId="55F4A90B" w14:textId="5D9EC5D3" w:rsidR="00CE7268" w:rsidRPr="008B464F" w:rsidRDefault="00CE7268" w:rsidP="002900FE">
            <w:pPr>
              <w:rPr>
                <w:rFonts w:ascii="Arial" w:hAnsi="Arial" w:cs="Arial"/>
                <w:sz w:val="18"/>
                <w:szCs w:val="18"/>
              </w:rPr>
            </w:pPr>
          </w:p>
        </w:tc>
        <w:tc>
          <w:tcPr>
            <w:tcW w:w="1843" w:type="dxa"/>
          </w:tcPr>
          <w:p w14:paraId="2605DCE5" w14:textId="77777777" w:rsidR="0061261D" w:rsidRPr="008B464F" w:rsidRDefault="0061261D" w:rsidP="002900FE">
            <w:pPr>
              <w:rPr>
                <w:rFonts w:ascii="Arial" w:hAnsi="Arial" w:cs="Arial"/>
                <w:sz w:val="18"/>
                <w:szCs w:val="18"/>
              </w:rPr>
            </w:pPr>
            <w:r w:rsidRPr="008B464F">
              <w:rPr>
                <w:rFonts w:ascii="Arial" w:hAnsi="Arial" w:cs="Arial"/>
                <w:sz w:val="18"/>
                <w:szCs w:val="18"/>
              </w:rPr>
              <w:t>Seed Fairs</w:t>
            </w:r>
          </w:p>
          <w:p w14:paraId="49F8051F" w14:textId="77777777" w:rsidR="0061261D" w:rsidRPr="008B464F" w:rsidRDefault="0061261D" w:rsidP="002900FE">
            <w:pPr>
              <w:rPr>
                <w:rFonts w:ascii="Arial" w:hAnsi="Arial" w:cs="Arial"/>
                <w:sz w:val="18"/>
                <w:szCs w:val="18"/>
              </w:rPr>
            </w:pPr>
            <w:r w:rsidRPr="008B464F">
              <w:rPr>
                <w:rFonts w:ascii="Arial" w:hAnsi="Arial" w:cs="Arial"/>
                <w:sz w:val="18"/>
                <w:szCs w:val="18"/>
              </w:rPr>
              <w:t>Field Days</w:t>
            </w:r>
            <w:r>
              <w:rPr>
                <w:rFonts w:ascii="Arial" w:hAnsi="Arial" w:cs="Arial"/>
                <w:sz w:val="18"/>
                <w:szCs w:val="18"/>
              </w:rPr>
              <w:t>/demonstration plots</w:t>
            </w:r>
          </w:p>
          <w:p w14:paraId="4AE95E7D" w14:textId="77777777" w:rsidR="0061261D" w:rsidRDefault="0061261D" w:rsidP="002900FE">
            <w:pPr>
              <w:rPr>
                <w:rFonts w:ascii="Arial" w:hAnsi="Arial" w:cs="Arial"/>
                <w:sz w:val="18"/>
                <w:szCs w:val="18"/>
              </w:rPr>
            </w:pPr>
            <w:r w:rsidRPr="008B464F">
              <w:rPr>
                <w:rFonts w:ascii="Arial" w:hAnsi="Arial" w:cs="Arial"/>
                <w:sz w:val="18"/>
                <w:szCs w:val="18"/>
              </w:rPr>
              <w:t>Information packs</w:t>
            </w:r>
          </w:p>
          <w:p w14:paraId="75DAAE49" w14:textId="77777777" w:rsidR="0061261D" w:rsidRPr="008B464F" w:rsidRDefault="0061261D" w:rsidP="002900FE">
            <w:pPr>
              <w:rPr>
                <w:rFonts w:ascii="Arial" w:hAnsi="Arial" w:cs="Arial"/>
                <w:sz w:val="18"/>
                <w:szCs w:val="18"/>
              </w:rPr>
            </w:pPr>
            <w:r>
              <w:rPr>
                <w:rFonts w:ascii="Arial" w:hAnsi="Arial" w:cs="Arial"/>
                <w:sz w:val="18"/>
                <w:szCs w:val="18"/>
              </w:rPr>
              <w:t>Printed i</w:t>
            </w:r>
            <w:r w:rsidRPr="008B464F">
              <w:rPr>
                <w:rFonts w:ascii="Arial" w:hAnsi="Arial" w:cs="Arial"/>
                <w:sz w:val="18"/>
                <w:szCs w:val="18"/>
              </w:rPr>
              <w:t xml:space="preserve">nformation </w:t>
            </w:r>
            <w:r>
              <w:rPr>
                <w:rFonts w:ascii="Arial" w:hAnsi="Arial" w:cs="Arial"/>
                <w:sz w:val="18"/>
                <w:szCs w:val="18"/>
              </w:rPr>
              <w:t>in local languages</w:t>
            </w:r>
          </w:p>
        </w:tc>
        <w:tc>
          <w:tcPr>
            <w:tcW w:w="2126" w:type="dxa"/>
          </w:tcPr>
          <w:p w14:paraId="615D0E4B" w14:textId="77777777" w:rsidR="0061261D" w:rsidRDefault="0061261D" w:rsidP="002900FE">
            <w:pPr>
              <w:rPr>
                <w:rFonts w:ascii="Arial" w:hAnsi="Arial" w:cs="Arial"/>
                <w:sz w:val="18"/>
                <w:szCs w:val="18"/>
              </w:rPr>
            </w:pPr>
            <w:r>
              <w:rPr>
                <w:rFonts w:ascii="Arial" w:hAnsi="Arial" w:cs="Arial"/>
                <w:sz w:val="18"/>
                <w:szCs w:val="18"/>
              </w:rPr>
              <w:t>Private extension agents</w:t>
            </w:r>
          </w:p>
          <w:p w14:paraId="49FA431D" w14:textId="77777777" w:rsidR="0061261D" w:rsidRPr="008B464F" w:rsidRDefault="0061261D" w:rsidP="002900FE">
            <w:pPr>
              <w:rPr>
                <w:rFonts w:ascii="Arial" w:hAnsi="Arial" w:cs="Arial"/>
                <w:sz w:val="18"/>
                <w:szCs w:val="18"/>
              </w:rPr>
            </w:pPr>
            <w:r>
              <w:rPr>
                <w:rFonts w:ascii="Arial" w:hAnsi="Arial" w:cs="Arial"/>
                <w:sz w:val="18"/>
                <w:szCs w:val="18"/>
              </w:rPr>
              <w:t>Field Days/demonstration plots</w:t>
            </w:r>
          </w:p>
        </w:tc>
        <w:tc>
          <w:tcPr>
            <w:tcW w:w="1650" w:type="dxa"/>
          </w:tcPr>
          <w:p w14:paraId="4A5A792B" w14:textId="77777777" w:rsidR="0061261D" w:rsidRDefault="00B25393" w:rsidP="002900FE">
            <w:pPr>
              <w:rPr>
                <w:rFonts w:ascii="Arial" w:hAnsi="Arial" w:cs="Arial"/>
                <w:sz w:val="18"/>
                <w:szCs w:val="18"/>
              </w:rPr>
            </w:pPr>
            <w:r>
              <w:rPr>
                <w:rFonts w:ascii="Arial" w:hAnsi="Arial" w:cs="Arial"/>
                <w:sz w:val="18"/>
                <w:szCs w:val="18"/>
              </w:rPr>
              <w:t>Demonstration plots</w:t>
            </w:r>
          </w:p>
          <w:p w14:paraId="20ED90A5" w14:textId="58AC69AB" w:rsidR="00B25393" w:rsidRPr="008B464F" w:rsidRDefault="00B25393" w:rsidP="002900FE">
            <w:pPr>
              <w:rPr>
                <w:rFonts w:ascii="Arial" w:hAnsi="Arial" w:cs="Arial"/>
                <w:sz w:val="18"/>
                <w:szCs w:val="18"/>
              </w:rPr>
            </w:pPr>
            <w:r>
              <w:rPr>
                <w:rFonts w:ascii="Arial" w:hAnsi="Arial" w:cs="Arial"/>
                <w:sz w:val="18"/>
                <w:szCs w:val="18"/>
              </w:rPr>
              <w:t>Field Days</w:t>
            </w:r>
          </w:p>
        </w:tc>
      </w:tr>
      <w:tr w:rsidR="0061261D" w:rsidRPr="008B464F" w14:paraId="17D711B2" w14:textId="77777777" w:rsidTr="002900FE">
        <w:tc>
          <w:tcPr>
            <w:tcW w:w="1712" w:type="dxa"/>
          </w:tcPr>
          <w:p w14:paraId="360F68A5" w14:textId="77777777" w:rsidR="0061261D" w:rsidRPr="008B464F" w:rsidRDefault="0061261D" w:rsidP="002900FE">
            <w:pPr>
              <w:rPr>
                <w:rFonts w:ascii="Arial" w:hAnsi="Arial" w:cs="Arial"/>
                <w:sz w:val="18"/>
                <w:szCs w:val="18"/>
              </w:rPr>
            </w:pPr>
            <w:r w:rsidRPr="008B464F">
              <w:rPr>
                <w:rFonts w:ascii="Arial" w:hAnsi="Arial" w:cs="Arial"/>
                <w:sz w:val="18"/>
                <w:szCs w:val="18"/>
              </w:rPr>
              <w:t>Access to technology</w:t>
            </w:r>
          </w:p>
          <w:p w14:paraId="082E4E26" w14:textId="77777777" w:rsidR="0061261D" w:rsidRPr="008B464F" w:rsidRDefault="0061261D" w:rsidP="002900FE">
            <w:pPr>
              <w:rPr>
                <w:rFonts w:ascii="Arial" w:hAnsi="Arial" w:cs="Arial"/>
                <w:sz w:val="18"/>
                <w:szCs w:val="18"/>
              </w:rPr>
            </w:pPr>
          </w:p>
          <w:p w14:paraId="7378B0DD" w14:textId="77777777" w:rsidR="0061261D" w:rsidRPr="008B464F" w:rsidRDefault="0061261D" w:rsidP="002900FE">
            <w:pPr>
              <w:rPr>
                <w:rFonts w:ascii="Arial" w:hAnsi="Arial" w:cs="Arial"/>
                <w:sz w:val="18"/>
                <w:szCs w:val="18"/>
              </w:rPr>
            </w:pPr>
          </w:p>
          <w:p w14:paraId="7825FCCD" w14:textId="77777777" w:rsidR="0061261D" w:rsidRPr="008B464F" w:rsidRDefault="0061261D" w:rsidP="002900FE">
            <w:pPr>
              <w:rPr>
                <w:rFonts w:ascii="Arial" w:hAnsi="Arial" w:cs="Arial"/>
                <w:sz w:val="18"/>
                <w:szCs w:val="18"/>
              </w:rPr>
            </w:pPr>
          </w:p>
          <w:p w14:paraId="646041AD" w14:textId="77777777" w:rsidR="0061261D" w:rsidRPr="008B464F" w:rsidRDefault="0061261D" w:rsidP="002900FE">
            <w:pPr>
              <w:rPr>
                <w:rFonts w:ascii="Arial" w:hAnsi="Arial" w:cs="Arial"/>
                <w:sz w:val="18"/>
                <w:szCs w:val="18"/>
              </w:rPr>
            </w:pPr>
          </w:p>
        </w:tc>
        <w:tc>
          <w:tcPr>
            <w:tcW w:w="1685" w:type="dxa"/>
          </w:tcPr>
          <w:p w14:paraId="5BC477C4" w14:textId="77777777" w:rsidR="0061261D" w:rsidRPr="008B464F" w:rsidRDefault="0061261D" w:rsidP="002900FE">
            <w:pPr>
              <w:rPr>
                <w:rFonts w:ascii="Arial" w:hAnsi="Arial" w:cs="Arial"/>
                <w:sz w:val="18"/>
                <w:szCs w:val="18"/>
              </w:rPr>
            </w:pPr>
            <w:r w:rsidRPr="008B464F">
              <w:rPr>
                <w:rFonts w:ascii="Arial" w:hAnsi="Arial" w:cs="Arial"/>
                <w:sz w:val="18"/>
                <w:szCs w:val="18"/>
              </w:rPr>
              <w:t>Quality Declared Seed (QDS)</w:t>
            </w:r>
          </w:p>
          <w:p w14:paraId="1B3385F4" w14:textId="2F180872" w:rsidR="0061261D" w:rsidRDefault="0061261D" w:rsidP="002900FE">
            <w:pPr>
              <w:rPr>
                <w:rFonts w:ascii="Arial" w:hAnsi="Arial" w:cs="Arial"/>
                <w:sz w:val="18"/>
                <w:szCs w:val="18"/>
              </w:rPr>
            </w:pPr>
            <w:r w:rsidRPr="008B464F">
              <w:rPr>
                <w:rFonts w:ascii="Arial" w:hAnsi="Arial" w:cs="Arial"/>
                <w:sz w:val="18"/>
                <w:szCs w:val="18"/>
              </w:rPr>
              <w:t>Small Seed Packs (SSP)</w:t>
            </w:r>
          </w:p>
          <w:p w14:paraId="4808BA41" w14:textId="0864E06B" w:rsidR="00CE7268" w:rsidRDefault="00CE7268" w:rsidP="002900FE">
            <w:pPr>
              <w:rPr>
                <w:rFonts w:ascii="Arial" w:hAnsi="Arial" w:cs="Arial"/>
                <w:sz w:val="18"/>
                <w:szCs w:val="18"/>
              </w:rPr>
            </w:pPr>
            <w:r>
              <w:rPr>
                <w:rFonts w:ascii="Arial" w:hAnsi="Arial" w:cs="Arial"/>
                <w:sz w:val="18"/>
                <w:szCs w:val="18"/>
              </w:rPr>
              <w:t xml:space="preserve">ISSFM </w:t>
            </w:r>
            <w:proofErr w:type="spellStart"/>
            <w:r>
              <w:rPr>
                <w:rFonts w:ascii="Arial" w:hAnsi="Arial" w:cs="Arial"/>
                <w:sz w:val="18"/>
                <w:szCs w:val="18"/>
              </w:rPr>
              <w:t>Minikits</w:t>
            </w:r>
            <w:proofErr w:type="spellEnd"/>
          </w:p>
          <w:p w14:paraId="22A69CC3" w14:textId="77777777" w:rsidR="0061261D" w:rsidRDefault="0061261D" w:rsidP="002900FE">
            <w:pPr>
              <w:rPr>
                <w:rFonts w:ascii="Arial" w:hAnsi="Arial" w:cs="Arial"/>
                <w:sz w:val="18"/>
                <w:szCs w:val="18"/>
              </w:rPr>
            </w:pPr>
            <w:r>
              <w:rPr>
                <w:rFonts w:ascii="Arial" w:hAnsi="Arial" w:cs="Arial"/>
                <w:sz w:val="18"/>
                <w:szCs w:val="18"/>
              </w:rPr>
              <w:t>Seed roadmaps</w:t>
            </w:r>
          </w:p>
          <w:p w14:paraId="6CD8A460" w14:textId="77777777" w:rsidR="0061261D" w:rsidRPr="008B464F" w:rsidRDefault="0061261D" w:rsidP="002900FE">
            <w:pPr>
              <w:rPr>
                <w:rFonts w:ascii="Arial" w:hAnsi="Arial" w:cs="Arial"/>
                <w:sz w:val="18"/>
                <w:szCs w:val="18"/>
              </w:rPr>
            </w:pPr>
          </w:p>
        </w:tc>
        <w:tc>
          <w:tcPr>
            <w:tcW w:w="1843" w:type="dxa"/>
          </w:tcPr>
          <w:p w14:paraId="4E26F847" w14:textId="77777777" w:rsidR="0061261D" w:rsidRDefault="0061261D" w:rsidP="002900FE">
            <w:pPr>
              <w:rPr>
                <w:rFonts w:ascii="Arial" w:hAnsi="Arial" w:cs="Arial"/>
                <w:sz w:val="18"/>
                <w:szCs w:val="18"/>
              </w:rPr>
            </w:pPr>
            <w:r>
              <w:rPr>
                <w:rFonts w:ascii="Arial" w:hAnsi="Arial" w:cs="Arial"/>
                <w:sz w:val="18"/>
                <w:szCs w:val="18"/>
              </w:rPr>
              <w:t>Small Seed Packs (SSP)</w:t>
            </w:r>
          </w:p>
          <w:p w14:paraId="480F89F1" w14:textId="77777777" w:rsidR="0061261D" w:rsidRDefault="0061261D" w:rsidP="002900FE">
            <w:pPr>
              <w:rPr>
                <w:rFonts w:ascii="Arial" w:hAnsi="Arial" w:cs="Arial"/>
                <w:sz w:val="18"/>
                <w:szCs w:val="18"/>
              </w:rPr>
            </w:pPr>
            <w:r>
              <w:rPr>
                <w:rFonts w:ascii="Arial" w:hAnsi="Arial" w:cs="Arial"/>
                <w:sz w:val="18"/>
                <w:szCs w:val="18"/>
              </w:rPr>
              <w:t>‘Seed delivery platforms’</w:t>
            </w:r>
          </w:p>
          <w:p w14:paraId="172BCDB3" w14:textId="77777777" w:rsidR="0061261D" w:rsidRDefault="0061261D" w:rsidP="002900FE">
            <w:pPr>
              <w:rPr>
                <w:rFonts w:ascii="Arial" w:hAnsi="Arial" w:cs="Arial"/>
                <w:sz w:val="18"/>
                <w:szCs w:val="18"/>
              </w:rPr>
            </w:pPr>
            <w:r>
              <w:rPr>
                <w:rFonts w:ascii="Arial" w:hAnsi="Arial" w:cs="Arial"/>
                <w:sz w:val="18"/>
                <w:szCs w:val="18"/>
              </w:rPr>
              <w:t>Bilateral seed projects (</w:t>
            </w:r>
            <w:proofErr w:type="spellStart"/>
            <w:r>
              <w:rPr>
                <w:rFonts w:ascii="Arial" w:hAnsi="Arial" w:cs="Arial"/>
                <w:sz w:val="18"/>
                <w:szCs w:val="18"/>
              </w:rPr>
              <w:t>eg.</w:t>
            </w:r>
            <w:proofErr w:type="spellEnd"/>
            <w:r>
              <w:rPr>
                <w:rFonts w:ascii="Arial" w:hAnsi="Arial" w:cs="Arial"/>
                <w:sz w:val="18"/>
                <w:szCs w:val="18"/>
              </w:rPr>
              <w:t xml:space="preserve"> AGRA-PASS)</w:t>
            </w:r>
          </w:p>
          <w:p w14:paraId="067F1C21" w14:textId="77777777" w:rsidR="0061261D" w:rsidRPr="008B464F" w:rsidRDefault="0061261D" w:rsidP="002900FE">
            <w:pPr>
              <w:rPr>
                <w:rFonts w:ascii="Arial" w:hAnsi="Arial" w:cs="Arial"/>
                <w:sz w:val="18"/>
                <w:szCs w:val="18"/>
              </w:rPr>
            </w:pPr>
            <w:r>
              <w:rPr>
                <w:rFonts w:ascii="Arial" w:hAnsi="Arial" w:cs="Arial"/>
                <w:sz w:val="18"/>
                <w:szCs w:val="18"/>
              </w:rPr>
              <w:t>Seed roadmaps</w:t>
            </w:r>
          </w:p>
        </w:tc>
        <w:tc>
          <w:tcPr>
            <w:tcW w:w="2126" w:type="dxa"/>
          </w:tcPr>
          <w:p w14:paraId="5566D822" w14:textId="77777777" w:rsidR="0061261D" w:rsidRDefault="0061261D" w:rsidP="002900FE">
            <w:pPr>
              <w:rPr>
                <w:rFonts w:ascii="Arial" w:hAnsi="Arial" w:cs="Arial"/>
                <w:sz w:val="18"/>
                <w:szCs w:val="18"/>
              </w:rPr>
            </w:pPr>
            <w:r>
              <w:rPr>
                <w:rFonts w:ascii="Arial" w:hAnsi="Arial" w:cs="Arial"/>
                <w:sz w:val="18"/>
                <w:szCs w:val="18"/>
              </w:rPr>
              <w:t>Small Seed Packs (SSP)</w:t>
            </w:r>
          </w:p>
          <w:p w14:paraId="657E6864" w14:textId="77777777" w:rsidR="0061261D" w:rsidRDefault="0061261D" w:rsidP="002900FE">
            <w:pPr>
              <w:rPr>
                <w:rFonts w:ascii="Arial" w:hAnsi="Arial" w:cs="Arial"/>
                <w:sz w:val="18"/>
                <w:szCs w:val="18"/>
              </w:rPr>
            </w:pPr>
            <w:r>
              <w:rPr>
                <w:rFonts w:ascii="Arial" w:hAnsi="Arial" w:cs="Arial"/>
                <w:sz w:val="18"/>
                <w:szCs w:val="18"/>
              </w:rPr>
              <w:t>Smallholder seed producers and private seed companies</w:t>
            </w:r>
          </w:p>
          <w:p w14:paraId="3D77AE94" w14:textId="77777777" w:rsidR="0061261D" w:rsidRPr="008B464F" w:rsidRDefault="0061261D" w:rsidP="002900FE">
            <w:pPr>
              <w:rPr>
                <w:rFonts w:ascii="Arial" w:hAnsi="Arial" w:cs="Arial"/>
                <w:sz w:val="18"/>
                <w:szCs w:val="18"/>
              </w:rPr>
            </w:pPr>
            <w:r>
              <w:rPr>
                <w:rFonts w:ascii="Arial" w:hAnsi="Arial" w:cs="Arial"/>
                <w:sz w:val="18"/>
                <w:szCs w:val="18"/>
              </w:rPr>
              <w:t>Community seed banks</w:t>
            </w:r>
          </w:p>
        </w:tc>
        <w:tc>
          <w:tcPr>
            <w:tcW w:w="1650" w:type="dxa"/>
          </w:tcPr>
          <w:p w14:paraId="1E87B09A" w14:textId="77777777" w:rsidR="00B25393" w:rsidRDefault="00B25393" w:rsidP="002900FE">
            <w:pPr>
              <w:rPr>
                <w:rFonts w:ascii="Arial" w:hAnsi="Arial" w:cs="Arial"/>
                <w:sz w:val="18"/>
                <w:szCs w:val="18"/>
              </w:rPr>
            </w:pPr>
            <w:r>
              <w:rPr>
                <w:rFonts w:ascii="Arial" w:hAnsi="Arial" w:cs="Arial"/>
                <w:sz w:val="18"/>
                <w:szCs w:val="18"/>
              </w:rPr>
              <w:t>Small seed packs (SSP)</w:t>
            </w:r>
          </w:p>
          <w:p w14:paraId="33712CF9" w14:textId="207C8B25" w:rsidR="0061261D" w:rsidRPr="008B464F" w:rsidRDefault="00B25393" w:rsidP="002900FE">
            <w:pPr>
              <w:rPr>
                <w:rFonts w:ascii="Arial" w:hAnsi="Arial" w:cs="Arial"/>
                <w:sz w:val="18"/>
                <w:szCs w:val="18"/>
              </w:rPr>
            </w:pPr>
            <w:r>
              <w:rPr>
                <w:rFonts w:ascii="Arial" w:hAnsi="Arial" w:cs="Arial"/>
                <w:sz w:val="18"/>
                <w:szCs w:val="18"/>
              </w:rPr>
              <w:t>Seed producer groups, small seed companies</w:t>
            </w:r>
            <w:r w:rsidR="003A5A72">
              <w:rPr>
                <w:rFonts w:ascii="Arial" w:hAnsi="Arial" w:cs="Arial"/>
                <w:sz w:val="18"/>
                <w:szCs w:val="18"/>
              </w:rPr>
              <w:t xml:space="preserve"> </w:t>
            </w:r>
          </w:p>
        </w:tc>
      </w:tr>
      <w:tr w:rsidR="0061261D" w:rsidRPr="008B464F" w14:paraId="70BBD3ED" w14:textId="77777777" w:rsidTr="002900FE">
        <w:tc>
          <w:tcPr>
            <w:tcW w:w="1712" w:type="dxa"/>
          </w:tcPr>
          <w:p w14:paraId="30CE86D9" w14:textId="77777777" w:rsidR="0061261D" w:rsidRPr="008B464F" w:rsidRDefault="0061261D" w:rsidP="002900FE">
            <w:pPr>
              <w:rPr>
                <w:rFonts w:ascii="Arial" w:hAnsi="Arial" w:cs="Arial"/>
                <w:sz w:val="18"/>
                <w:szCs w:val="18"/>
              </w:rPr>
            </w:pPr>
            <w:r w:rsidRPr="008B464F">
              <w:rPr>
                <w:rFonts w:ascii="Arial" w:hAnsi="Arial" w:cs="Arial"/>
                <w:sz w:val="18"/>
                <w:szCs w:val="18"/>
              </w:rPr>
              <w:t>Policies and institutions</w:t>
            </w:r>
          </w:p>
          <w:p w14:paraId="7E17FA9C" w14:textId="77777777" w:rsidR="0061261D" w:rsidRPr="008B464F" w:rsidRDefault="0061261D" w:rsidP="002900FE">
            <w:pPr>
              <w:rPr>
                <w:rFonts w:ascii="Arial" w:hAnsi="Arial" w:cs="Arial"/>
                <w:sz w:val="18"/>
                <w:szCs w:val="18"/>
              </w:rPr>
            </w:pPr>
          </w:p>
          <w:p w14:paraId="78F63352" w14:textId="77777777" w:rsidR="0061261D" w:rsidRPr="008B464F" w:rsidRDefault="0061261D" w:rsidP="002900FE">
            <w:pPr>
              <w:rPr>
                <w:rFonts w:ascii="Arial" w:hAnsi="Arial" w:cs="Arial"/>
                <w:sz w:val="18"/>
                <w:szCs w:val="18"/>
              </w:rPr>
            </w:pPr>
          </w:p>
          <w:p w14:paraId="181BCC59" w14:textId="77777777" w:rsidR="0061261D" w:rsidRPr="008B464F" w:rsidRDefault="0061261D" w:rsidP="002900FE">
            <w:pPr>
              <w:rPr>
                <w:rFonts w:ascii="Arial" w:hAnsi="Arial" w:cs="Arial"/>
                <w:sz w:val="18"/>
                <w:szCs w:val="18"/>
              </w:rPr>
            </w:pPr>
          </w:p>
        </w:tc>
        <w:tc>
          <w:tcPr>
            <w:tcW w:w="1685" w:type="dxa"/>
          </w:tcPr>
          <w:p w14:paraId="7D7B3A09" w14:textId="77777777" w:rsidR="0061261D" w:rsidRDefault="0061261D" w:rsidP="002900FE">
            <w:pPr>
              <w:rPr>
                <w:rFonts w:ascii="Arial" w:hAnsi="Arial" w:cs="Arial"/>
                <w:sz w:val="18"/>
                <w:szCs w:val="18"/>
              </w:rPr>
            </w:pPr>
            <w:r w:rsidRPr="008B464F">
              <w:rPr>
                <w:rFonts w:ascii="Arial" w:hAnsi="Arial" w:cs="Arial"/>
                <w:sz w:val="18"/>
                <w:szCs w:val="18"/>
              </w:rPr>
              <w:t>Quality Declared Seed (QDS)</w:t>
            </w:r>
          </w:p>
          <w:p w14:paraId="7B6E64F3" w14:textId="77777777" w:rsidR="0061261D" w:rsidRPr="008B464F" w:rsidRDefault="0061261D" w:rsidP="002900FE">
            <w:pPr>
              <w:rPr>
                <w:rFonts w:ascii="Arial" w:hAnsi="Arial" w:cs="Arial"/>
                <w:sz w:val="18"/>
                <w:szCs w:val="18"/>
              </w:rPr>
            </w:pPr>
            <w:r>
              <w:rPr>
                <w:rFonts w:ascii="Arial" w:hAnsi="Arial" w:cs="Arial"/>
                <w:sz w:val="18"/>
                <w:szCs w:val="18"/>
              </w:rPr>
              <w:t>Capacity building of NARS breeding programs</w:t>
            </w:r>
          </w:p>
        </w:tc>
        <w:tc>
          <w:tcPr>
            <w:tcW w:w="1843" w:type="dxa"/>
          </w:tcPr>
          <w:p w14:paraId="5523BDE1" w14:textId="77777777" w:rsidR="0061261D" w:rsidRDefault="0061261D" w:rsidP="002900FE">
            <w:pPr>
              <w:rPr>
                <w:rFonts w:ascii="Arial" w:hAnsi="Arial" w:cs="Arial"/>
                <w:sz w:val="18"/>
                <w:szCs w:val="18"/>
              </w:rPr>
            </w:pPr>
            <w:r>
              <w:rPr>
                <w:rFonts w:ascii="Arial" w:hAnsi="Arial" w:cs="Arial"/>
                <w:sz w:val="18"/>
                <w:szCs w:val="18"/>
              </w:rPr>
              <w:t xml:space="preserve">Private seed companies </w:t>
            </w:r>
          </w:p>
          <w:p w14:paraId="57384777" w14:textId="77777777" w:rsidR="0061261D" w:rsidRDefault="0061261D" w:rsidP="002900FE">
            <w:pPr>
              <w:rPr>
                <w:rFonts w:ascii="Arial" w:hAnsi="Arial" w:cs="Arial"/>
                <w:sz w:val="18"/>
                <w:szCs w:val="18"/>
              </w:rPr>
            </w:pPr>
            <w:r>
              <w:rPr>
                <w:rFonts w:ascii="Arial" w:hAnsi="Arial" w:cs="Arial"/>
                <w:sz w:val="18"/>
                <w:szCs w:val="18"/>
              </w:rPr>
              <w:t>Capacity building of NARS breeding programs</w:t>
            </w:r>
          </w:p>
          <w:p w14:paraId="251A7B32" w14:textId="77777777" w:rsidR="0061261D" w:rsidRPr="008B464F" w:rsidRDefault="0061261D" w:rsidP="002900FE">
            <w:pPr>
              <w:rPr>
                <w:rFonts w:ascii="Arial" w:hAnsi="Arial" w:cs="Arial"/>
                <w:sz w:val="18"/>
                <w:szCs w:val="18"/>
              </w:rPr>
            </w:pPr>
          </w:p>
        </w:tc>
        <w:tc>
          <w:tcPr>
            <w:tcW w:w="2126" w:type="dxa"/>
          </w:tcPr>
          <w:p w14:paraId="03F4F446" w14:textId="77777777" w:rsidR="0061261D" w:rsidRDefault="0061261D" w:rsidP="002900FE">
            <w:pPr>
              <w:rPr>
                <w:rFonts w:ascii="Arial" w:hAnsi="Arial" w:cs="Arial"/>
                <w:sz w:val="18"/>
                <w:szCs w:val="18"/>
              </w:rPr>
            </w:pPr>
            <w:r>
              <w:rPr>
                <w:rFonts w:ascii="Arial" w:hAnsi="Arial" w:cs="Arial"/>
                <w:sz w:val="18"/>
                <w:szCs w:val="18"/>
              </w:rPr>
              <w:t>Evidence for policy</w:t>
            </w:r>
          </w:p>
          <w:p w14:paraId="674BE35D" w14:textId="77777777" w:rsidR="0061261D" w:rsidRPr="008B464F" w:rsidRDefault="0061261D" w:rsidP="002900FE">
            <w:pPr>
              <w:rPr>
                <w:rFonts w:ascii="Arial" w:hAnsi="Arial" w:cs="Arial"/>
                <w:sz w:val="18"/>
                <w:szCs w:val="18"/>
              </w:rPr>
            </w:pPr>
            <w:r>
              <w:rPr>
                <w:rFonts w:ascii="Arial" w:hAnsi="Arial" w:cs="Arial"/>
                <w:sz w:val="18"/>
                <w:szCs w:val="18"/>
              </w:rPr>
              <w:t>Barriers to livestock trade and market development</w:t>
            </w:r>
          </w:p>
        </w:tc>
        <w:tc>
          <w:tcPr>
            <w:tcW w:w="1650" w:type="dxa"/>
          </w:tcPr>
          <w:p w14:paraId="655E60FE" w14:textId="6CC9F2A9" w:rsidR="0061261D" w:rsidRPr="008B464F" w:rsidRDefault="00E97215" w:rsidP="002900FE">
            <w:pPr>
              <w:rPr>
                <w:rFonts w:ascii="Arial" w:hAnsi="Arial" w:cs="Arial"/>
                <w:sz w:val="18"/>
                <w:szCs w:val="18"/>
              </w:rPr>
            </w:pPr>
            <w:r>
              <w:rPr>
                <w:rFonts w:ascii="Arial" w:hAnsi="Arial" w:cs="Arial"/>
                <w:sz w:val="18"/>
                <w:szCs w:val="18"/>
              </w:rPr>
              <w:t>Revolving fund</w:t>
            </w:r>
            <w:r w:rsidR="00654C9F">
              <w:rPr>
                <w:rFonts w:ascii="Arial" w:hAnsi="Arial" w:cs="Arial"/>
                <w:sz w:val="18"/>
                <w:szCs w:val="18"/>
              </w:rPr>
              <w:t xml:space="preserve"> for early generation (</w:t>
            </w:r>
            <w:r w:rsidR="00FA1508">
              <w:rPr>
                <w:rFonts w:ascii="Arial" w:hAnsi="Arial" w:cs="Arial"/>
                <w:sz w:val="18"/>
                <w:szCs w:val="18"/>
              </w:rPr>
              <w:t xml:space="preserve">breeder &amp; </w:t>
            </w:r>
            <w:r w:rsidR="00654C9F">
              <w:rPr>
                <w:rFonts w:ascii="Arial" w:hAnsi="Arial" w:cs="Arial"/>
                <w:sz w:val="18"/>
                <w:szCs w:val="18"/>
              </w:rPr>
              <w:t>basic) seed</w:t>
            </w:r>
          </w:p>
        </w:tc>
      </w:tr>
      <w:tr w:rsidR="0061261D" w:rsidRPr="008B464F" w14:paraId="6176ED19" w14:textId="77777777" w:rsidTr="002900FE">
        <w:tc>
          <w:tcPr>
            <w:tcW w:w="1712" w:type="dxa"/>
          </w:tcPr>
          <w:p w14:paraId="70BE1B43" w14:textId="77777777" w:rsidR="0061261D" w:rsidRPr="008B464F" w:rsidRDefault="0061261D" w:rsidP="002900FE">
            <w:pPr>
              <w:rPr>
                <w:rFonts w:ascii="Arial" w:hAnsi="Arial" w:cs="Arial"/>
                <w:sz w:val="18"/>
                <w:szCs w:val="18"/>
              </w:rPr>
            </w:pPr>
            <w:r w:rsidRPr="008B464F">
              <w:rPr>
                <w:rFonts w:ascii="Arial" w:hAnsi="Arial" w:cs="Arial"/>
                <w:sz w:val="18"/>
                <w:szCs w:val="18"/>
              </w:rPr>
              <w:t>Marketability</w:t>
            </w:r>
          </w:p>
          <w:p w14:paraId="4828D665" w14:textId="77777777" w:rsidR="0061261D" w:rsidRPr="008B464F" w:rsidRDefault="0061261D" w:rsidP="002900FE">
            <w:pPr>
              <w:rPr>
                <w:rFonts w:ascii="Arial" w:hAnsi="Arial" w:cs="Arial"/>
                <w:sz w:val="18"/>
                <w:szCs w:val="18"/>
              </w:rPr>
            </w:pPr>
          </w:p>
          <w:p w14:paraId="61B5C0AC" w14:textId="77777777" w:rsidR="0061261D" w:rsidRPr="008B464F" w:rsidRDefault="0061261D" w:rsidP="002900FE">
            <w:pPr>
              <w:rPr>
                <w:rFonts w:ascii="Arial" w:hAnsi="Arial" w:cs="Arial"/>
                <w:sz w:val="18"/>
                <w:szCs w:val="18"/>
              </w:rPr>
            </w:pPr>
          </w:p>
          <w:p w14:paraId="14AD7A7A" w14:textId="77777777" w:rsidR="0061261D" w:rsidRPr="008B464F" w:rsidRDefault="0061261D" w:rsidP="002900FE">
            <w:pPr>
              <w:rPr>
                <w:rFonts w:ascii="Arial" w:hAnsi="Arial" w:cs="Arial"/>
                <w:sz w:val="18"/>
                <w:szCs w:val="18"/>
              </w:rPr>
            </w:pPr>
          </w:p>
          <w:p w14:paraId="5E4054B0" w14:textId="77777777" w:rsidR="0061261D" w:rsidRPr="008B464F" w:rsidRDefault="0061261D" w:rsidP="002900FE">
            <w:pPr>
              <w:rPr>
                <w:rFonts w:ascii="Arial" w:hAnsi="Arial" w:cs="Arial"/>
                <w:sz w:val="18"/>
                <w:szCs w:val="18"/>
              </w:rPr>
            </w:pPr>
          </w:p>
        </w:tc>
        <w:tc>
          <w:tcPr>
            <w:tcW w:w="1685" w:type="dxa"/>
          </w:tcPr>
          <w:p w14:paraId="64FDD0E2" w14:textId="77777777" w:rsidR="0061261D" w:rsidRPr="008B464F" w:rsidRDefault="0061261D" w:rsidP="002900FE">
            <w:pPr>
              <w:rPr>
                <w:rFonts w:ascii="Arial" w:hAnsi="Arial" w:cs="Arial"/>
                <w:sz w:val="18"/>
                <w:szCs w:val="18"/>
              </w:rPr>
            </w:pPr>
            <w:r w:rsidRPr="008B464F">
              <w:rPr>
                <w:rFonts w:ascii="Arial" w:hAnsi="Arial" w:cs="Arial"/>
                <w:sz w:val="18"/>
                <w:szCs w:val="18"/>
              </w:rPr>
              <w:t>Training courses and manuals for seed production and marketing</w:t>
            </w:r>
          </w:p>
        </w:tc>
        <w:tc>
          <w:tcPr>
            <w:tcW w:w="1843" w:type="dxa"/>
          </w:tcPr>
          <w:p w14:paraId="78434BFC" w14:textId="77777777" w:rsidR="0061261D" w:rsidRPr="008B464F" w:rsidRDefault="0061261D" w:rsidP="002900FE">
            <w:pPr>
              <w:rPr>
                <w:rFonts w:ascii="Arial" w:hAnsi="Arial" w:cs="Arial"/>
                <w:sz w:val="18"/>
                <w:szCs w:val="18"/>
              </w:rPr>
            </w:pPr>
          </w:p>
        </w:tc>
        <w:tc>
          <w:tcPr>
            <w:tcW w:w="2126" w:type="dxa"/>
          </w:tcPr>
          <w:p w14:paraId="48C6F33D" w14:textId="77777777" w:rsidR="0061261D" w:rsidRDefault="0061261D" w:rsidP="002900FE">
            <w:pPr>
              <w:rPr>
                <w:rFonts w:ascii="Arial" w:hAnsi="Arial" w:cs="Arial"/>
                <w:sz w:val="18"/>
                <w:szCs w:val="18"/>
              </w:rPr>
            </w:pPr>
            <w:r>
              <w:rPr>
                <w:rFonts w:ascii="Arial" w:hAnsi="Arial" w:cs="Arial"/>
                <w:sz w:val="18"/>
                <w:szCs w:val="18"/>
              </w:rPr>
              <w:t>Innovation platforms</w:t>
            </w:r>
          </w:p>
          <w:p w14:paraId="136E4C32" w14:textId="77777777" w:rsidR="0061261D" w:rsidRDefault="0061261D" w:rsidP="002900FE">
            <w:pPr>
              <w:rPr>
                <w:rFonts w:ascii="Arial" w:hAnsi="Arial" w:cs="Arial"/>
                <w:sz w:val="18"/>
                <w:szCs w:val="18"/>
              </w:rPr>
            </w:pPr>
            <w:r>
              <w:rPr>
                <w:rFonts w:ascii="Arial" w:hAnsi="Arial" w:cs="Arial"/>
                <w:sz w:val="18"/>
                <w:szCs w:val="18"/>
              </w:rPr>
              <w:t>Marketing associations/</w:t>
            </w:r>
          </w:p>
          <w:p w14:paraId="096DD643" w14:textId="77777777" w:rsidR="0061261D" w:rsidRDefault="0061261D" w:rsidP="002900FE">
            <w:pPr>
              <w:rPr>
                <w:rFonts w:ascii="Arial" w:hAnsi="Arial" w:cs="Arial"/>
                <w:sz w:val="18"/>
                <w:szCs w:val="18"/>
              </w:rPr>
            </w:pPr>
            <w:r>
              <w:rPr>
                <w:rFonts w:ascii="Arial" w:hAnsi="Arial" w:cs="Arial"/>
                <w:sz w:val="18"/>
                <w:szCs w:val="18"/>
              </w:rPr>
              <w:t>organisations</w:t>
            </w:r>
          </w:p>
          <w:p w14:paraId="55C16F60" w14:textId="77777777" w:rsidR="0061261D" w:rsidRDefault="0061261D" w:rsidP="002900FE">
            <w:pPr>
              <w:rPr>
                <w:rFonts w:ascii="Arial" w:hAnsi="Arial" w:cs="Arial"/>
                <w:sz w:val="18"/>
                <w:szCs w:val="18"/>
              </w:rPr>
            </w:pPr>
            <w:r>
              <w:rPr>
                <w:rFonts w:ascii="Arial" w:hAnsi="Arial" w:cs="Arial"/>
                <w:sz w:val="18"/>
                <w:szCs w:val="18"/>
              </w:rPr>
              <w:t>Dairy business hubs</w:t>
            </w:r>
          </w:p>
          <w:p w14:paraId="78DAA810" w14:textId="77777777" w:rsidR="0061261D" w:rsidRPr="008B464F" w:rsidRDefault="0061261D" w:rsidP="002900FE">
            <w:pPr>
              <w:rPr>
                <w:rFonts w:ascii="Arial" w:hAnsi="Arial" w:cs="Arial"/>
                <w:sz w:val="18"/>
                <w:szCs w:val="18"/>
              </w:rPr>
            </w:pPr>
          </w:p>
        </w:tc>
        <w:tc>
          <w:tcPr>
            <w:tcW w:w="1650" w:type="dxa"/>
          </w:tcPr>
          <w:p w14:paraId="776E671E" w14:textId="6AD9C888" w:rsidR="0061261D" w:rsidRPr="008B464F" w:rsidRDefault="0061261D" w:rsidP="002900FE">
            <w:pPr>
              <w:rPr>
                <w:rFonts w:ascii="Arial" w:hAnsi="Arial" w:cs="Arial"/>
                <w:sz w:val="18"/>
                <w:szCs w:val="18"/>
              </w:rPr>
            </w:pPr>
          </w:p>
        </w:tc>
      </w:tr>
      <w:tr w:rsidR="0061261D" w:rsidRPr="008B464F" w14:paraId="1690125F" w14:textId="77777777" w:rsidTr="002900FE">
        <w:tc>
          <w:tcPr>
            <w:tcW w:w="1712" w:type="dxa"/>
          </w:tcPr>
          <w:p w14:paraId="2A72B405" w14:textId="77777777" w:rsidR="0061261D" w:rsidRPr="008B464F" w:rsidRDefault="0061261D" w:rsidP="002900FE">
            <w:pPr>
              <w:rPr>
                <w:rFonts w:ascii="Arial" w:hAnsi="Arial" w:cs="Arial"/>
                <w:sz w:val="18"/>
                <w:szCs w:val="18"/>
              </w:rPr>
            </w:pPr>
            <w:r w:rsidRPr="008B464F">
              <w:rPr>
                <w:rFonts w:ascii="Arial" w:hAnsi="Arial" w:cs="Arial"/>
                <w:sz w:val="18"/>
                <w:szCs w:val="18"/>
              </w:rPr>
              <w:t>Consumer demand</w:t>
            </w:r>
          </w:p>
          <w:p w14:paraId="0D70F8CA" w14:textId="77777777" w:rsidR="0061261D" w:rsidRPr="008B464F" w:rsidRDefault="0061261D" w:rsidP="002900FE">
            <w:pPr>
              <w:rPr>
                <w:rFonts w:ascii="Arial" w:hAnsi="Arial" w:cs="Arial"/>
                <w:sz w:val="18"/>
                <w:szCs w:val="18"/>
              </w:rPr>
            </w:pPr>
          </w:p>
          <w:p w14:paraId="4205101C" w14:textId="77777777" w:rsidR="0061261D" w:rsidRPr="008B464F" w:rsidRDefault="0061261D" w:rsidP="002900FE">
            <w:pPr>
              <w:rPr>
                <w:rFonts w:ascii="Arial" w:hAnsi="Arial" w:cs="Arial"/>
                <w:sz w:val="18"/>
                <w:szCs w:val="18"/>
              </w:rPr>
            </w:pPr>
          </w:p>
          <w:p w14:paraId="5747DAE3" w14:textId="77777777" w:rsidR="0061261D" w:rsidRPr="008B464F" w:rsidRDefault="0061261D" w:rsidP="002900FE">
            <w:pPr>
              <w:rPr>
                <w:rFonts w:ascii="Arial" w:hAnsi="Arial" w:cs="Arial"/>
                <w:sz w:val="18"/>
                <w:szCs w:val="18"/>
              </w:rPr>
            </w:pPr>
          </w:p>
          <w:p w14:paraId="7AA512B3" w14:textId="77777777" w:rsidR="0061261D" w:rsidRPr="008B464F" w:rsidRDefault="0061261D" w:rsidP="002900FE">
            <w:pPr>
              <w:rPr>
                <w:rFonts w:ascii="Arial" w:hAnsi="Arial" w:cs="Arial"/>
                <w:sz w:val="18"/>
                <w:szCs w:val="18"/>
              </w:rPr>
            </w:pPr>
          </w:p>
        </w:tc>
        <w:tc>
          <w:tcPr>
            <w:tcW w:w="1685" w:type="dxa"/>
          </w:tcPr>
          <w:p w14:paraId="29CB4DDF" w14:textId="77777777" w:rsidR="0061261D" w:rsidRPr="008B464F" w:rsidRDefault="0061261D" w:rsidP="002900FE">
            <w:pPr>
              <w:rPr>
                <w:rFonts w:ascii="Arial" w:hAnsi="Arial" w:cs="Arial"/>
                <w:sz w:val="18"/>
                <w:szCs w:val="18"/>
              </w:rPr>
            </w:pPr>
            <w:r w:rsidRPr="008B464F">
              <w:rPr>
                <w:rFonts w:ascii="Arial" w:hAnsi="Arial" w:cs="Arial"/>
                <w:sz w:val="18"/>
                <w:szCs w:val="18"/>
              </w:rPr>
              <w:t xml:space="preserve">Incorporate </w:t>
            </w:r>
            <w:r>
              <w:rPr>
                <w:rFonts w:ascii="Arial" w:hAnsi="Arial" w:cs="Arial"/>
                <w:sz w:val="18"/>
                <w:szCs w:val="18"/>
              </w:rPr>
              <w:t>‘</w:t>
            </w:r>
            <w:r w:rsidRPr="008B464F">
              <w:rPr>
                <w:rFonts w:ascii="Arial" w:hAnsi="Arial" w:cs="Arial"/>
                <w:sz w:val="18"/>
                <w:szCs w:val="18"/>
              </w:rPr>
              <w:t>consumer trait preferences</w:t>
            </w:r>
            <w:r>
              <w:rPr>
                <w:rFonts w:ascii="Arial" w:hAnsi="Arial" w:cs="Arial"/>
                <w:sz w:val="18"/>
                <w:szCs w:val="18"/>
              </w:rPr>
              <w:t>’</w:t>
            </w:r>
            <w:r w:rsidRPr="008B464F">
              <w:rPr>
                <w:rFonts w:ascii="Arial" w:hAnsi="Arial" w:cs="Arial"/>
                <w:sz w:val="18"/>
                <w:szCs w:val="18"/>
              </w:rPr>
              <w:t xml:space="preserve"> in breeding program</w:t>
            </w:r>
          </w:p>
        </w:tc>
        <w:tc>
          <w:tcPr>
            <w:tcW w:w="1843" w:type="dxa"/>
          </w:tcPr>
          <w:p w14:paraId="77772CC4" w14:textId="77777777" w:rsidR="0061261D" w:rsidRPr="008B464F" w:rsidRDefault="0061261D" w:rsidP="002900FE">
            <w:pPr>
              <w:rPr>
                <w:rFonts w:ascii="Arial" w:hAnsi="Arial" w:cs="Arial"/>
                <w:sz w:val="18"/>
                <w:szCs w:val="18"/>
              </w:rPr>
            </w:pPr>
            <w:r>
              <w:rPr>
                <w:rFonts w:ascii="Arial" w:hAnsi="Arial" w:cs="Arial"/>
                <w:sz w:val="18"/>
                <w:szCs w:val="18"/>
              </w:rPr>
              <w:t>Incorporate short cooking time into breeding program</w:t>
            </w:r>
          </w:p>
        </w:tc>
        <w:tc>
          <w:tcPr>
            <w:tcW w:w="2126" w:type="dxa"/>
          </w:tcPr>
          <w:p w14:paraId="2BD2A19D" w14:textId="77777777" w:rsidR="0061261D" w:rsidRDefault="0061261D" w:rsidP="002900FE">
            <w:pPr>
              <w:rPr>
                <w:rFonts w:ascii="Arial" w:hAnsi="Arial" w:cs="Arial"/>
                <w:sz w:val="18"/>
                <w:szCs w:val="18"/>
              </w:rPr>
            </w:pPr>
            <w:r>
              <w:rPr>
                <w:rFonts w:ascii="Arial" w:hAnsi="Arial" w:cs="Arial"/>
                <w:sz w:val="18"/>
                <w:szCs w:val="18"/>
              </w:rPr>
              <w:t xml:space="preserve">TV programs for consumers of </w:t>
            </w:r>
            <w:proofErr w:type="spellStart"/>
            <w:r>
              <w:rPr>
                <w:rFonts w:ascii="Arial" w:hAnsi="Arial" w:cs="Arial"/>
                <w:sz w:val="18"/>
                <w:szCs w:val="18"/>
              </w:rPr>
              <w:t>SmartFoods</w:t>
            </w:r>
            <w:proofErr w:type="spellEnd"/>
          </w:p>
          <w:p w14:paraId="31FD435B" w14:textId="7549176C" w:rsidR="00980E7F" w:rsidRPr="008B464F" w:rsidRDefault="00980E7F" w:rsidP="002900FE">
            <w:pPr>
              <w:rPr>
                <w:rFonts w:ascii="Arial" w:hAnsi="Arial" w:cs="Arial"/>
                <w:sz w:val="18"/>
                <w:szCs w:val="18"/>
              </w:rPr>
            </w:pPr>
            <w:r>
              <w:rPr>
                <w:rFonts w:ascii="Arial" w:hAnsi="Arial" w:cs="Arial"/>
                <w:sz w:val="18"/>
                <w:szCs w:val="18"/>
              </w:rPr>
              <w:t>Photovoice</w:t>
            </w:r>
          </w:p>
        </w:tc>
        <w:tc>
          <w:tcPr>
            <w:tcW w:w="1650" w:type="dxa"/>
          </w:tcPr>
          <w:p w14:paraId="5C0DC01D" w14:textId="77777777" w:rsidR="0061261D" w:rsidRPr="008B464F" w:rsidRDefault="0061261D" w:rsidP="002900FE">
            <w:pPr>
              <w:rPr>
                <w:rFonts w:ascii="Arial" w:hAnsi="Arial" w:cs="Arial"/>
                <w:sz w:val="18"/>
                <w:szCs w:val="18"/>
              </w:rPr>
            </w:pPr>
          </w:p>
        </w:tc>
      </w:tr>
      <w:tr w:rsidR="0061261D" w:rsidRPr="008B464F" w14:paraId="603E02E1" w14:textId="77777777" w:rsidTr="002900FE">
        <w:tc>
          <w:tcPr>
            <w:tcW w:w="1712" w:type="dxa"/>
          </w:tcPr>
          <w:p w14:paraId="301D8753" w14:textId="77777777" w:rsidR="0061261D" w:rsidRPr="008B464F" w:rsidRDefault="0061261D" w:rsidP="002900FE">
            <w:pPr>
              <w:rPr>
                <w:rFonts w:ascii="Arial" w:hAnsi="Arial" w:cs="Arial"/>
                <w:sz w:val="18"/>
                <w:szCs w:val="18"/>
              </w:rPr>
            </w:pPr>
            <w:r w:rsidRPr="008B464F">
              <w:rPr>
                <w:rFonts w:ascii="Arial" w:hAnsi="Arial" w:cs="Arial"/>
                <w:sz w:val="18"/>
                <w:szCs w:val="18"/>
              </w:rPr>
              <w:t xml:space="preserve">Value Chain Coordination </w:t>
            </w:r>
          </w:p>
          <w:p w14:paraId="77DD598F" w14:textId="77777777" w:rsidR="0061261D" w:rsidRPr="008B464F" w:rsidRDefault="0061261D" w:rsidP="002900FE">
            <w:pPr>
              <w:rPr>
                <w:rFonts w:ascii="Arial" w:hAnsi="Arial" w:cs="Arial"/>
                <w:sz w:val="18"/>
                <w:szCs w:val="18"/>
              </w:rPr>
            </w:pPr>
          </w:p>
        </w:tc>
        <w:tc>
          <w:tcPr>
            <w:tcW w:w="1685" w:type="dxa"/>
          </w:tcPr>
          <w:p w14:paraId="01C1BE0F" w14:textId="77777777" w:rsidR="0061261D" w:rsidRPr="008B464F" w:rsidRDefault="0061261D" w:rsidP="002900FE">
            <w:pPr>
              <w:rPr>
                <w:rFonts w:ascii="Arial" w:hAnsi="Arial" w:cs="Arial"/>
                <w:sz w:val="18"/>
                <w:szCs w:val="18"/>
              </w:rPr>
            </w:pPr>
            <w:r w:rsidRPr="008B464F">
              <w:rPr>
                <w:rFonts w:ascii="Arial" w:hAnsi="Arial" w:cs="Arial"/>
                <w:sz w:val="18"/>
                <w:szCs w:val="18"/>
              </w:rPr>
              <w:t>Partnerships with NARS, NGOs and seed companies</w:t>
            </w:r>
          </w:p>
        </w:tc>
        <w:tc>
          <w:tcPr>
            <w:tcW w:w="1843" w:type="dxa"/>
          </w:tcPr>
          <w:p w14:paraId="00A509B7" w14:textId="77777777" w:rsidR="0061261D" w:rsidRDefault="0061261D" w:rsidP="002900FE">
            <w:pPr>
              <w:rPr>
                <w:rFonts w:ascii="Arial" w:hAnsi="Arial" w:cs="Arial"/>
                <w:sz w:val="18"/>
                <w:szCs w:val="18"/>
              </w:rPr>
            </w:pPr>
            <w:r>
              <w:rPr>
                <w:rFonts w:ascii="Arial" w:hAnsi="Arial" w:cs="Arial"/>
                <w:sz w:val="18"/>
                <w:szCs w:val="18"/>
              </w:rPr>
              <w:t>Research for development partnerships</w:t>
            </w:r>
          </w:p>
          <w:p w14:paraId="567250CD" w14:textId="77777777" w:rsidR="0061261D" w:rsidRPr="008B464F" w:rsidRDefault="0061261D" w:rsidP="002900FE">
            <w:pPr>
              <w:rPr>
                <w:rFonts w:ascii="Arial" w:hAnsi="Arial" w:cs="Arial"/>
                <w:sz w:val="18"/>
                <w:szCs w:val="18"/>
              </w:rPr>
            </w:pPr>
            <w:r>
              <w:rPr>
                <w:rFonts w:ascii="Arial" w:hAnsi="Arial" w:cs="Arial"/>
                <w:sz w:val="18"/>
                <w:szCs w:val="18"/>
              </w:rPr>
              <w:t>Joint planning of seed needs</w:t>
            </w:r>
          </w:p>
        </w:tc>
        <w:tc>
          <w:tcPr>
            <w:tcW w:w="2126" w:type="dxa"/>
          </w:tcPr>
          <w:p w14:paraId="7A92B675" w14:textId="77777777" w:rsidR="0061261D" w:rsidRDefault="0061261D" w:rsidP="002900FE">
            <w:pPr>
              <w:rPr>
                <w:rFonts w:ascii="Arial" w:hAnsi="Arial" w:cs="Arial"/>
                <w:sz w:val="18"/>
                <w:szCs w:val="18"/>
              </w:rPr>
            </w:pPr>
            <w:r>
              <w:rPr>
                <w:rFonts w:ascii="Arial" w:hAnsi="Arial" w:cs="Arial"/>
                <w:sz w:val="18"/>
                <w:szCs w:val="18"/>
              </w:rPr>
              <w:t>Business support to producer organisations and private seed companies</w:t>
            </w:r>
          </w:p>
          <w:p w14:paraId="696EAC79" w14:textId="77777777" w:rsidR="0061261D" w:rsidRDefault="0061261D" w:rsidP="002900FE">
            <w:pPr>
              <w:rPr>
                <w:rFonts w:ascii="Arial" w:hAnsi="Arial" w:cs="Arial"/>
                <w:sz w:val="18"/>
                <w:szCs w:val="18"/>
              </w:rPr>
            </w:pPr>
            <w:r>
              <w:rPr>
                <w:rFonts w:ascii="Arial" w:hAnsi="Arial" w:cs="Arial"/>
                <w:sz w:val="18"/>
                <w:szCs w:val="18"/>
              </w:rPr>
              <w:t>Market information through local radio</w:t>
            </w:r>
          </w:p>
          <w:p w14:paraId="55DB9577" w14:textId="77777777" w:rsidR="0061261D" w:rsidRDefault="0061261D" w:rsidP="002900FE">
            <w:pPr>
              <w:rPr>
                <w:rFonts w:ascii="Arial" w:hAnsi="Arial" w:cs="Arial"/>
                <w:sz w:val="18"/>
                <w:szCs w:val="18"/>
              </w:rPr>
            </w:pPr>
            <w:r>
              <w:rPr>
                <w:rFonts w:ascii="Arial" w:hAnsi="Arial" w:cs="Arial"/>
                <w:sz w:val="18"/>
                <w:szCs w:val="18"/>
              </w:rPr>
              <w:t>Collective marketing</w:t>
            </w:r>
          </w:p>
          <w:p w14:paraId="6401EB91" w14:textId="77777777" w:rsidR="0061261D" w:rsidRPr="008B464F" w:rsidRDefault="0061261D" w:rsidP="002900FE">
            <w:pPr>
              <w:rPr>
                <w:rFonts w:ascii="Arial" w:hAnsi="Arial" w:cs="Arial"/>
                <w:sz w:val="18"/>
                <w:szCs w:val="18"/>
              </w:rPr>
            </w:pPr>
            <w:r>
              <w:rPr>
                <w:rFonts w:ascii="Arial" w:hAnsi="Arial" w:cs="Arial"/>
                <w:sz w:val="18"/>
                <w:szCs w:val="18"/>
              </w:rPr>
              <w:t>Brokering bulk sales</w:t>
            </w:r>
          </w:p>
        </w:tc>
        <w:tc>
          <w:tcPr>
            <w:tcW w:w="1650" w:type="dxa"/>
          </w:tcPr>
          <w:p w14:paraId="38B704C0" w14:textId="36321EE0" w:rsidR="0061261D" w:rsidRPr="008B464F" w:rsidRDefault="00E97215" w:rsidP="002900FE">
            <w:pPr>
              <w:rPr>
                <w:rFonts w:ascii="Arial" w:hAnsi="Arial" w:cs="Arial"/>
                <w:sz w:val="18"/>
                <w:szCs w:val="18"/>
              </w:rPr>
            </w:pPr>
            <w:r>
              <w:rPr>
                <w:rFonts w:ascii="Arial" w:hAnsi="Arial" w:cs="Arial"/>
                <w:sz w:val="18"/>
                <w:szCs w:val="18"/>
              </w:rPr>
              <w:t>Facilitated sale of seed to farmers’ associations and cooperatives</w:t>
            </w:r>
          </w:p>
        </w:tc>
      </w:tr>
      <w:tr w:rsidR="0061261D" w:rsidRPr="008B464F" w14:paraId="4CCB6A09" w14:textId="77777777" w:rsidTr="002900FE">
        <w:tc>
          <w:tcPr>
            <w:tcW w:w="1712" w:type="dxa"/>
          </w:tcPr>
          <w:p w14:paraId="4601565E" w14:textId="77777777" w:rsidR="0061261D" w:rsidRPr="008B464F" w:rsidRDefault="0061261D" w:rsidP="002900FE">
            <w:pPr>
              <w:rPr>
                <w:rFonts w:ascii="Arial" w:hAnsi="Arial" w:cs="Arial"/>
                <w:sz w:val="18"/>
                <w:szCs w:val="18"/>
              </w:rPr>
            </w:pPr>
            <w:r w:rsidRPr="008B464F">
              <w:rPr>
                <w:rFonts w:ascii="Arial" w:hAnsi="Arial" w:cs="Arial"/>
                <w:sz w:val="18"/>
                <w:szCs w:val="18"/>
              </w:rPr>
              <w:lastRenderedPageBreak/>
              <w:t>Upstream research</w:t>
            </w:r>
          </w:p>
          <w:p w14:paraId="3C5B2BD1" w14:textId="77777777" w:rsidR="0061261D" w:rsidRPr="008B464F" w:rsidRDefault="0061261D" w:rsidP="002900FE">
            <w:pPr>
              <w:rPr>
                <w:rFonts w:ascii="Arial" w:hAnsi="Arial" w:cs="Arial"/>
                <w:sz w:val="18"/>
                <w:szCs w:val="18"/>
              </w:rPr>
            </w:pPr>
          </w:p>
          <w:p w14:paraId="10ACB856" w14:textId="77777777" w:rsidR="0061261D" w:rsidRPr="008B464F" w:rsidRDefault="0061261D" w:rsidP="002900FE">
            <w:pPr>
              <w:rPr>
                <w:rFonts w:ascii="Arial" w:hAnsi="Arial" w:cs="Arial"/>
                <w:sz w:val="18"/>
                <w:szCs w:val="18"/>
              </w:rPr>
            </w:pPr>
          </w:p>
          <w:p w14:paraId="4D2872B0" w14:textId="77777777" w:rsidR="0061261D" w:rsidRPr="008B464F" w:rsidRDefault="0061261D" w:rsidP="002900FE">
            <w:pPr>
              <w:rPr>
                <w:rFonts w:ascii="Arial" w:hAnsi="Arial" w:cs="Arial"/>
                <w:sz w:val="18"/>
                <w:szCs w:val="18"/>
              </w:rPr>
            </w:pPr>
          </w:p>
          <w:p w14:paraId="23C4B3AA" w14:textId="77777777" w:rsidR="0061261D" w:rsidRPr="008B464F" w:rsidRDefault="0061261D" w:rsidP="002900FE">
            <w:pPr>
              <w:rPr>
                <w:rFonts w:ascii="Arial" w:hAnsi="Arial" w:cs="Arial"/>
                <w:sz w:val="18"/>
                <w:szCs w:val="18"/>
              </w:rPr>
            </w:pPr>
          </w:p>
        </w:tc>
        <w:tc>
          <w:tcPr>
            <w:tcW w:w="1685" w:type="dxa"/>
          </w:tcPr>
          <w:p w14:paraId="7EEBBFF0" w14:textId="2ADE4256" w:rsidR="0061261D" w:rsidRDefault="0061261D" w:rsidP="002900FE">
            <w:pPr>
              <w:rPr>
                <w:rFonts w:ascii="Arial" w:hAnsi="Arial" w:cs="Arial"/>
                <w:sz w:val="18"/>
                <w:szCs w:val="18"/>
              </w:rPr>
            </w:pPr>
            <w:r>
              <w:rPr>
                <w:rFonts w:ascii="Arial" w:hAnsi="Arial" w:cs="Arial"/>
                <w:sz w:val="18"/>
                <w:szCs w:val="18"/>
              </w:rPr>
              <w:t xml:space="preserve">Advanced genomics to shorten </w:t>
            </w:r>
            <w:r w:rsidR="00B569D9">
              <w:rPr>
                <w:rFonts w:ascii="Arial" w:hAnsi="Arial" w:cs="Arial"/>
                <w:sz w:val="18"/>
                <w:szCs w:val="18"/>
              </w:rPr>
              <w:t xml:space="preserve">the </w:t>
            </w:r>
            <w:r>
              <w:rPr>
                <w:rFonts w:ascii="Arial" w:hAnsi="Arial" w:cs="Arial"/>
                <w:sz w:val="18"/>
                <w:szCs w:val="18"/>
              </w:rPr>
              <w:t>breeding cycle</w:t>
            </w:r>
          </w:p>
          <w:p w14:paraId="352F5179" w14:textId="77777777" w:rsidR="0061261D" w:rsidRPr="008B464F" w:rsidRDefault="0061261D" w:rsidP="002900FE">
            <w:pPr>
              <w:rPr>
                <w:rFonts w:ascii="Arial" w:hAnsi="Arial" w:cs="Arial"/>
                <w:sz w:val="18"/>
                <w:szCs w:val="18"/>
              </w:rPr>
            </w:pPr>
            <w:r w:rsidRPr="008B464F">
              <w:rPr>
                <w:rFonts w:ascii="Arial" w:hAnsi="Arial" w:cs="Arial"/>
                <w:sz w:val="18"/>
                <w:szCs w:val="18"/>
              </w:rPr>
              <w:t xml:space="preserve">Genome Wide Assessment Studies (GWAS) </w:t>
            </w:r>
          </w:p>
        </w:tc>
        <w:tc>
          <w:tcPr>
            <w:tcW w:w="1843" w:type="dxa"/>
          </w:tcPr>
          <w:p w14:paraId="42771504" w14:textId="77777777" w:rsidR="00B569D9" w:rsidRDefault="00B569D9" w:rsidP="00B569D9">
            <w:pPr>
              <w:rPr>
                <w:rFonts w:ascii="Arial" w:hAnsi="Arial" w:cs="Arial"/>
                <w:sz w:val="18"/>
                <w:szCs w:val="18"/>
              </w:rPr>
            </w:pPr>
            <w:r>
              <w:rPr>
                <w:rFonts w:ascii="Arial" w:hAnsi="Arial" w:cs="Arial"/>
                <w:sz w:val="18"/>
                <w:szCs w:val="18"/>
              </w:rPr>
              <w:t>Advanced genomics to shorten the breeding cycle</w:t>
            </w:r>
          </w:p>
          <w:p w14:paraId="06AAD794" w14:textId="77777777" w:rsidR="0061261D" w:rsidRPr="008B464F" w:rsidRDefault="0061261D" w:rsidP="00B569D9">
            <w:pPr>
              <w:rPr>
                <w:rFonts w:ascii="Arial" w:hAnsi="Arial" w:cs="Arial"/>
                <w:sz w:val="18"/>
                <w:szCs w:val="18"/>
              </w:rPr>
            </w:pPr>
          </w:p>
        </w:tc>
        <w:tc>
          <w:tcPr>
            <w:tcW w:w="2126" w:type="dxa"/>
          </w:tcPr>
          <w:p w14:paraId="631CF92B" w14:textId="77777777" w:rsidR="0061261D" w:rsidRPr="008B464F" w:rsidRDefault="0061261D" w:rsidP="002900FE">
            <w:pPr>
              <w:rPr>
                <w:rFonts w:ascii="Arial" w:hAnsi="Arial" w:cs="Arial"/>
                <w:sz w:val="18"/>
                <w:szCs w:val="18"/>
              </w:rPr>
            </w:pPr>
          </w:p>
        </w:tc>
        <w:tc>
          <w:tcPr>
            <w:tcW w:w="1650" w:type="dxa"/>
          </w:tcPr>
          <w:p w14:paraId="698FCD7F" w14:textId="77777777" w:rsidR="0061261D" w:rsidRPr="008B464F" w:rsidRDefault="0061261D" w:rsidP="002900FE">
            <w:pPr>
              <w:rPr>
                <w:rFonts w:ascii="Arial" w:hAnsi="Arial" w:cs="Arial"/>
                <w:sz w:val="18"/>
                <w:szCs w:val="18"/>
              </w:rPr>
            </w:pPr>
          </w:p>
        </w:tc>
      </w:tr>
      <w:tr w:rsidR="0061261D" w:rsidRPr="008B464F" w14:paraId="7B624016" w14:textId="77777777" w:rsidTr="002900FE">
        <w:tc>
          <w:tcPr>
            <w:tcW w:w="1712" w:type="dxa"/>
          </w:tcPr>
          <w:p w14:paraId="32AFC080" w14:textId="77777777" w:rsidR="0061261D" w:rsidRPr="008B464F" w:rsidRDefault="0061261D" w:rsidP="002900FE">
            <w:pPr>
              <w:rPr>
                <w:rFonts w:ascii="Arial" w:hAnsi="Arial" w:cs="Arial"/>
                <w:sz w:val="18"/>
                <w:szCs w:val="18"/>
              </w:rPr>
            </w:pPr>
            <w:r w:rsidRPr="008B464F">
              <w:rPr>
                <w:rFonts w:ascii="Arial" w:hAnsi="Arial" w:cs="Arial"/>
                <w:sz w:val="18"/>
                <w:szCs w:val="18"/>
              </w:rPr>
              <w:t>Feedback systems</w:t>
            </w:r>
          </w:p>
          <w:p w14:paraId="1B78B130" w14:textId="77777777" w:rsidR="0061261D" w:rsidRPr="008B464F" w:rsidRDefault="0061261D" w:rsidP="002900FE">
            <w:pPr>
              <w:rPr>
                <w:rFonts w:ascii="Arial" w:hAnsi="Arial" w:cs="Arial"/>
                <w:sz w:val="18"/>
                <w:szCs w:val="18"/>
              </w:rPr>
            </w:pPr>
          </w:p>
          <w:p w14:paraId="00324B3E" w14:textId="77777777" w:rsidR="0061261D" w:rsidRPr="008B464F" w:rsidRDefault="0061261D" w:rsidP="002900FE">
            <w:pPr>
              <w:rPr>
                <w:rFonts w:ascii="Arial" w:hAnsi="Arial" w:cs="Arial"/>
                <w:sz w:val="18"/>
                <w:szCs w:val="18"/>
              </w:rPr>
            </w:pPr>
          </w:p>
          <w:p w14:paraId="247D43F8" w14:textId="77777777" w:rsidR="0061261D" w:rsidRPr="008B464F" w:rsidRDefault="0061261D" w:rsidP="002900FE">
            <w:pPr>
              <w:rPr>
                <w:rFonts w:ascii="Arial" w:hAnsi="Arial" w:cs="Arial"/>
                <w:sz w:val="18"/>
                <w:szCs w:val="18"/>
              </w:rPr>
            </w:pPr>
          </w:p>
          <w:p w14:paraId="74A54EA5" w14:textId="77777777" w:rsidR="0061261D" w:rsidRPr="008B464F" w:rsidRDefault="0061261D" w:rsidP="002900FE">
            <w:pPr>
              <w:rPr>
                <w:rFonts w:ascii="Arial" w:hAnsi="Arial" w:cs="Arial"/>
                <w:sz w:val="18"/>
                <w:szCs w:val="18"/>
              </w:rPr>
            </w:pPr>
          </w:p>
        </w:tc>
        <w:tc>
          <w:tcPr>
            <w:tcW w:w="1685" w:type="dxa"/>
          </w:tcPr>
          <w:p w14:paraId="04C6F818" w14:textId="77777777" w:rsidR="0061261D" w:rsidRDefault="0061261D" w:rsidP="002900FE">
            <w:pPr>
              <w:rPr>
                <w:rFonts w:ascii="Arial" w:hAnsi="Arial" w:cs="Arial"/>
                <w:sz w:val="18"/>
                <w:szCs w:val="18"/>
              </w:rPr>
            </w:pPr>
            <w:r>
              <w:rPr>
                <w:rFonts w:ascii="Arial" w:hAnsi="Arial" w:cs="Arial"/>
                <w:sz w:val="18"/>
                <w:szCs w:val="18"/>
              </w:rPr>
              <w:t>MLE Plan and MLE specialist</w:t>
            </w:r>
          </w:p>
          <w:p w14:paraId="602876C6" w14:textId="77777777" w:rsidR="0061261D" w:rsidRPr="008B464F" w:rsidRDefault="0061261D" w:rsidP="002900FE">
            <w:pPr>
              <w:rPr>
                <w:rFonts w:ascii="Arial" w:hAnsi="Arial" w:cs="Arial"/>
                <w:sz w:val="18"/>
                <w:szCs w:val="18"/>
              </w:rPr>
            </w:pPr>
            <w:r w:rsidRPr="008B464F">
              <w:rPr>
                <w:rFonts w:ascii="Arial" w:hAnsi="Arial" w:cs="Arial"/>
                <w:sz w:val="18"/>
                <w:szCs w:val="18"/>
              </w:rPr>
              <w:t>Breeding Program Assessment Tool (BPAT)</w:t>
            </w:r>
          </w:p>
        </w:tc>
        <w:tc>
          <w:tcPr>
            <w:tcW w:w="1843" w:type="dxa"/>
          </w:tcPr>
          <w:p w14:paraId="0B6183C4" w14:textId="77777777" w:rsidR="0061261D" w:rsidRDefault="0061261D" w:rsidP="002900FE">
            <w:pPr>
              <w:rPr>
                <w:rFonts w:ascii="Arial" w:hAnsi="Arial" w:cs="Arial"/>
                <w:sz w:val="18"/>
                <w:szCs w:val="18"/>
              </w:rPr>
            </w:pPr>
            <w:r>
              <w:rPr>
                <w:rFonts w:ascii="Arial" w:hAnsi="Arial" w:cs="Arial"/>
                <w:sz w:val="18"/>
                <w:szCs w:val="18"/>
              </w:rPr>
              <w:t>MLE Plan and MLE specialist</w:t>
            </w:r>
          </w:p>
          <w:p w14:paraId="3708B704" w14:textId="77777777" w:rsidR="0061261D" w:rsidRPr="008B464F" w:rsidRDefault="0061261D" w:rsidP="002900FE">
            <w:pPr>
              <w:rPr>
                <w:rFonts w:ascii="Arial" w:hAnsi="Arial" w:cs="Arial"/>
                <w:sz w:val="18"/>
                <w:szCs w:val="18"/>
              </w:rPr>
            </w:pPr>
            <w:r w:rsidRPr="008B464F">
              <w:rPr>
                <w:rFonts w:ascii="Arial" w:hAnsi="Arial" w:cs="Arial"/>
                <w:sz w:val="18"/>
                <w:szCs w:val="18"/>
              </w:rPr>
              <w:t>Breeding Program Assessment Tool (BPAT)</w:t>
            </w:r>
          </w:p>
        </w:tc>
        <w:tc>
          <w:tcPr>
            <w:tcW w:w="2126" w:type="dxa"/>
          </w:tcPr>
          <w:p w14:paraId="6461F2DC" w14:textId="77777777" w:rsidR="0061261D" w:rsidRPr="008B464F" w:rsidRDefault="0061261D" w:rsidP="002900FE">
            <w:pPr>
              <w:rPr>
                <w:rFonts w:ascii="Arial" w:hAnsi="Arial" w:cs="Arial"/>
                <w:sz w:val="18"/>
                <w:szCs w:val="18"/>
              </w:rPr>
            </w:pPr>
            <w:r>
              <w:rPr>
                <w:rFonts w:ascii="Arial" w:hAnsi="Arial" w:cs="Arial"/>
                <w:sz w:val="18"/>
                <w:szCs w:val="18"/>
              </w:rPr>
              <w:t>Results Based Monitoring</w:t>
            </w:r>
          </w:p>
        </w:tc>
        <w:tc>
          <w:tcPr>
            <w:tcW w:w="1650" w:type="dxa"/>
          </w:tcPr>
          <w:p w14:paraId="1CAEDD08" w14:textId="77777777" w:rsidR="0061261D" w:rsidRPr="008B464F" w:rsidRDefault="0061261D" w:rsidP="002900FE">
            <w:pPr>
              <w:rPr>
                <w:rFonts w:ascii="Arial" w:hAnsi="Arial" w:cs="Arial"/>
                <w:sz w:val="18"/>
                <w:szCs w:val="18"/>
              </w:rPr>
            </w:pPr>
          </w:p>
        </w:tc>
      </w:tr>
    </w:tbl>
    <w:p w14:paraId="1DDD3420" w14:textId="77777777" w:rsidR="00ED02F8" w:rsidRDefault="00ED02F8" w:rsidP="00ED02F8">
      <w:r>
        <w:t xml:space="preserve">Sources: ICRISAT (2013), ICRISAT (2014), ILRI (2015), </w:t>
      </w:r>
      <w:proofErr w:type="spellStart"/>
      <w:r>
        <w:t>Akinwale</w:t>
      </w:r>
      <w:proofErr w:type="spellEnd"/>
      <w:r>
        <w:t xml:space="preserve"> et. al. (2016).</w:t>
      </w:r>
    </w:p>
    <w:p w14:paraId="19CA51ED" w14:textId="77777777" w:rsidR="00ED02F8" w:rsidRDefault="00ED02F8" w:rsidP="00130C91">
      <w:pPr>
        <w:pStyle w:val="Footer"/>
        <w:jc w:val="both"/>
        <w:rPr>
          <w:rFonts w:ascii="Arial" w:hAnsi="Arial" w:cs="Arial"/>
        </w:rPr>
      </w:pPr>
    </w:p>
    <w:p w14:paraId="4E884233" w14:textId="046010E5" w:rsidR="00B35233" w:rsidRDefault="00F4573E" w:rsidP="00007080">
      <w:pPr>
        <w:pStyle w:val="Footer"/>
        <w:jc w:val="both"/>
        <w:rPr>
          <w:rFonts w:ascii="Arial" w:hAnsi="Arial" w:cs="Arial"/>
        </w:rPr>
      </w:pPr>
      <w:r>
        <w:rPr>
          <w:rFonts w:ascii="Arial" w:hAnsi="Arial" w:cs="Arial"/>
        </w:rPr>
        <w:t xml:space="preserve">The framework identifies several possible gaps in the design of these four scaling projects. </w:t>
      </w:r>
      <w:r w:rsidR="00A96AF2">
        <w:rPr>
          <w:rFonts w:ascii="Arial" w:hAnsi="Arial" w:cs="Arial"/>
        </w:rPr>
        <w:t xml:space="preserve">In some cases, components in the scaling </w:t>
      </w:r>
      <w:r w:rsidR="00FB626E">
        <w:rPr>
          <w:rFonts w:ascii="Arial" w:hAnsi="Arial" w:cs="Arial"/>
        </w:rPr>
        <w:t xml:space="preserve">framework </w:t>
      </w:r>
      <w:r w:rsidR="00A96AF2">
        <w:rPr>
          <w:rFonts w:ascii="Arial" w:hAnsi="Arial" w:cs="Arial"/>
        </w:rPr>
        <w:t xml:space="preserve">are missing. </w:t>
      </w:r>
      <w:r w:rsidR="00FB626E" w:rsidRPr="00FB626E">
        <w:rPr>
          <w:rFonts w:ascii="Arial" w:hAnsi="Arial" w:cs="Arial"/>
        </w:rPr>
        <w:t>T</w:t>
      </w:r>
      <w:r w:rsidR="009C05D0">
        <w:rPr>
          <w:rFonts w:ascii="Arial" w:hAnsi="Arial" w:cs="Arial"/>
        </w:rPr>
        <w:t xml:space="preserve">hree </w:t>
      </w:r>
      <w:r w:rsidR="00FB626E" w:rsidRPr="00FB626E">
        <w:rPr>
          <w:rFonts w:ascii="Arial" w:hAnsi="Arial" w:cs="Arial"/>
        </w:rPr>
        <w:t xml:space="preserve">examples of missing components are </w:t>
      </w:r>
      <w:r w:rsidR="00FB626E" w:rsidRPr="00FB626E">
        <w:rPr>
          <w:rFonts w:ascii="Arial" w:hAnsi="Arial" w:cs="Arial"/>
          <w:b/>
          <w:bCs/>
        </w:rPr>
        <w:t>M</w:t>
      </w:r>
      <w:r w:rsidR="00007080" w:rsidRPr="00FB626E">
        <w:rPr>
          <w:rFonts w:ascii="Arial" w:hAnsi="Arial" w:cs="Arial"/>
          <w:b/>
          <w:bCs/>
        </w:rPr>
        <w:t>arketability</w:t>
      </w:r>
      <w:r w:rsidR="009C05D0">
        <w:rPr>
          <w:rFonts w:ascii="Arial" w:hAnsi="Arial" w:cs="Arial"/>
          <w:b/>
          <w:bCs/>
        </w:rPr>
        <w:t>,</w:t>
      </w:r>
      <w:r w:rsidR="00007080" w:rsidRPr="00FB626E">
        <w:rPr>
          <w:rFonts w:ascii="Arial" w:hAnsi="Arial" w:cs="Arial"/>
        </w:rPr>
        <w:t xml:space="preserve"> </w:t>
      </w:r>
      <w:r w:rsidR="009C05D0" w:rsidRPr="009C05D0">
        <w:rPr>
          <w:rFonts w:ascii="Arial" w:hAnsi="Arial" w:cs="Arial"/>
          <w:b/>
          <w:bCs/>
        </w:rPr>
        <w:t>Policies and Institutions</w:t>
      </w:r>
      <w:r w:rsidR="009C05D0">
        <w:rPr>
          <w:rFonts w:ascii="Arial" w:hAnsi="Arial" w:cs="Arial"/>
        </w:rPr>
        <w:t xml:space="preserve">, and </w:t>
      </w:r>
      <w:r w:rsidR="00FB626E" w:rsidRPr="00FB626E">
        <w:rPr>
          <w:rFonts w:ascii="Arial" w:hAnsi="Arial" w:cs="Arial"/>
          <w:b/>
          <w:bCs/>
        </w:rPr>
        <w:t>U</w:t>
      </w:r>
      <w:r w:rsidR="00007080" w:rsidRPr="00FB626E">
        <w:rPr>
          <w:rFonts w:ascii="Arial" w:hAnsi="Arial" w:cs="Arial"/>
          <w:b/>
          <w:bCs/>
        </w:rPr>
        <w:t>pstream research</w:t>
      </w:r>
      <w:r w:rsidR="009C05D0">
        <w:rPr>
          <w:rFonts w:ascii="Arial" w:hAnsi="Arial" w:cs="Arial"/>
          <w:b/>
          <w:bCs/>
        </w:rPr>
        <w:t>.</w:t>
      </w:r>
      <w:r w:rsidR="00FB626E">
        <w:rPr>
          <w:rFonts w:ascii="Arial" w:hAnsi="Arial" w:cs="Arial"/>
        </w:rPr>
        <w:t xml:space="preserve"> </w:t>
      </w:r>
      <w:r w:rsidR="009C05D0">
        <w:rPr>
          <w:rFonts w:ascii="Arial" w:hAnsi="Arial" w:cs="Arial"/>
        </w:rPr>
        <w:t xml:space="preserve">The framework defines </w:t>
      </w:r>
      <w:r w:rsidR="00FB626E" w:rsidRPr="006F53C3">
        <w:rPr>
          <w:rFonts w:ascii="Arial" w:hAnsi="Arial" w:cs="Arial"/>
          <w:b/>
          <w:bCs/>
        </w:rPr>
        <w:t>Marketability</w:t>
      </w:r>
      <w:r w:rsidR="00FB626E">
        <w:rPr>
          <w:rFonts w:ascii="Arial" w:hAnsi="Arial" w:cs="Arial"/>
        </w:rPr>
        <w:t xml:space="preserve"> </w:t>
      </w:r>
      <w:r w:rsidR="009C05D0">
        <w:rPr>
          <w:rFonts w:ascii="Arial" w:hAnsi="Arial" w:cs="Arial"/>
        </w:rPr>
        <w:t>as the</w:t>
      </w:r>
      <w:r w:rsidR="00FB626E">
        <w:rPr>
          <w:rFonts w:ascii="Arial" w:hAnsi="Arial" w:cs="Arial"/>
        </w:rPr>
        <w:t xml:space="preserve"> “</w:t>
      </w:r>
      <w:r w:rsidR="00FB626E" w:rsidRPr="00284E34">
        <w:rPr>
          <w:rFonts w:ascii="Arial" w:hAnsi="Arial" w:cs="Arial"/>
          <w:i/>
          <w:iCs/>
        </w:rPr>
        <w:t>ready access to markets with profitable and predictable returns”</w:t>
      </w:r>
      <w:r w:rsidR="00AD2DDA">
        <w:rPr>
          <w:rFonts w:ascii="Arial" w:hAnsi="Arial" w:cs="Arial"/>
        </w:rPr>
        <w:t xml:space="preserve"> (Figure 1)</w:t>
      </w:r>
      <w:r w:rsidR="00FB626E">
        <w:rPr>
          <w:rFonts w:ascii="Arial" w:hAnsi="Arial" w:cs="Arial"/>
        </w:rPr>
        <w:t xml:space="preserve">. This </w:t>
      </w:r>
      <w:r w:rsidR="00284E34">
        <w:rPr>
          <w:rFonts w:ascii="Arial" w:hAnsi="Arial" w:cs="Arial"/>
        </w:rPr>
        <w:t xml:space="preserve">component </w:t>
      </w:r>
      <w:r w:rsidR="00FB626E">
        <w:rPr>
          <w:rFonts w:ascii="Arial" w:hAnsi="Arial" w:cs="Arial"/>
        </w:rPr>
        <w:t xml:space="preserve">is </w:t>
      </w:r>
      <w:r w:rsidR="00284E34">
        <w:rPr>
          <w:rFonts w:ascii="Arial" w:hAnsi="Arial" w:cs="Arial"/>
        </w:rPr>
        <w:t xml:space="preserve">fundamental </w:t>
      </w:r>
      <w:r w:rsidR="00FB626E">
        <w:rPr>
          <w:rFonts w:ascii="Arial" w:hAnsi="Arial" w:cs="Arial"/>
        </w:rPr>
        <w:t xml:space="preserve">for scaling new technology designed for commercial markets. Yet it </w:t>
      </w:r>
      <w:r w:rsidR="0045374E">
        <w:rPr>
          <w:rFonts w:ascii="Arial" w:hAnsi="Arial" w:cs="Arial"/>
        </w:rPr>
        <w:t xml:space="preserve">was deliberately omitted from the </w:t>
      </w:r>
      <w:r w:rsidR="00FB626E">
        <w:rPr>
          <w:rFonts w:ascii="Arial" w:hAnsi="Arial" w:cs="Arial"/>
        </w:rPr>
        <w:t>TL III project</w:t>
      </w:r>
      <w:r w:rsidR="0045374E">
        <w:rPr>
          <w:rFonts w:ascii="Arial" w:hAnsi="Arial" w:cs="Arial"/>
        </w:rPr>
        <w:t xml:space="preserve"> on the grounds that </w:t>
      </w:r>
      <w:r w:rsidR="00FB626E">
        <w:rPr>
          <w:rFonts w:ascii="Arial" w:hAnsi="Arial" w:cs="Arial"/>
        </w:rPr>
        <w:t>“</w:t>
      </w:r>
      <w:r w:rsidR="009C05D0" w:rsidRPr="00284E34">
        <w:rPr>
          <w:rFonts w:ascii="Arial" w:hAnsi="Arial" w:cs="Arial"/>
          <w:i/>
          <w:iCs/>
        </w:rPr>
        <w:t>research on markets, policy and seed regulation … are being adequately covered by other initiatives or that sufficient information is now available</w:t>
      </w:r>
      <w:r w:rsidR="009C05D0">
        <w:rPr>
          <w:rFonts w:ascii="Arial" w:hAnsi="Arial" w:cs="Arial"/>
        </w:rPr>
        <w:t>” (</w:t>
      </w:r>
      <w:r w:rsidR="00ED02F8">
        <w:rPr>
          <w:rFonts w:ascii="Arial" w:hAnsi="Arial" w:cs="Arial"/>
        </w:rPr>
        <w:t>ICRISAT, 2013, p. 13</w:t>
      </w:r>
      <w:r w:rsidR="009C05D0">
        <w:rPr>
          <w:rFonts w:ascii="Arial" w:hAnsi="Arial" w:cs="Arial"/>
        </w:rPr>
        <w:t xml:space="preserve">). Similarly, the framework defines </w:t>
      </w:r>
      <w:r w:rsidR="009C05D0" w:rsidRPr="00191E35">
        <w:rPr>
          <w:rFonts w:ascii="Arial" w:hAnsi="Arial" w:cs="Arial"/>
          <w:b/>
          <w:bCs/>
        </w:rPr>
        <w:t>Policies and Institutions</w:t>
      </w:r>
      <w:r w:rsidR="009C05D0">
        <w:rPr>
          <w:rFonts w:ascii="Arial" w:hAnsi="Arial" w:cs="Arial"/>
        </w:rPr>
        <w:t xml:space="preserve"> as “</w:t>
      </w:r>
      <w:r w:rsidR="009C05D0" w:rsidRPr="00284E34">
        <w:rPr>
          <w:rFonts w:ascii="Arial" w:hAnsi="Arial" w:cs="Arial"/>
          <w:i/>
          <w:iCs/>
        </w:rPr>
        <w:t xml:space="preserve">an enabling environment with supporting institutions </w:t>
      </w:r>
      <w:r w:rsidR="00AD2DDA" w:rsidRPr="00284E34">
        <w:rPr>
          <w:rFonts w:ascii="Arial" w:hAnsi="Arial" w:cs="Arial"/>
          <w:i/>
          <w:iCs/>
        </w:rPr>
        <w:t>and appropriate incentives/absence of bottlenecks</w:t>
      </w:r>
      <w:r w:rsidR="00AD2DDA">
        <w:rPr>
          <w:rFonts w:ascii="Arial" w:hAnsi="Arial" w:cs="Arial"/>
        </w:rPr>
        <w:t xml:space="preserve">” (Figure 1). </w:t>
      </w:r>
      <w:r w:rsidR="009C05D0">
        <w:rPr>
          <w:rFonts w:ascii="Arial" w:hAnsi="Arial" w:cs="Arial"/>
        </w:rPr>
        <w:t xml:space="preserve"> </w:t>
      </w:r>
      <w:r w:rsidR="00AD2DDA">
        <w:rPr>
          <w:rFonts w:ascii="Arial" w:hAnsi="Arial" w:cs="Arial"/>
        </w:rPr>
        <w:t xml:space="preserve">Yet </w:t>
      </w:r>
      <w:r w:rsidR="009C05D0">
        <w:rPr>
          <w:rFonts w:ascii="Arial" w:hAnsi="Arial" w:cs="Arial"/>
        </w:rPr>
        <w:t xml:space="preserve">only one project (AVCD) </w:t>
      </w:r>
      <w:r w:rsidR="003778EA">
        <w:rPr>
          <w:rFonts w:ascii="Arial" w:hAnsi="Arial" w:cs="Arial"/>
        </w:rPr>
        <w:t>explicitly addresses policies that threaten adoption at scale. In this case, th</w:t>
      </w:r>
      <w:r w:rsidR="00C31717">
        <w:rPr>
          <w:rFonts w:ascii="Arial" w:hAnsi="Arial" w:cs="Arial"/>
        </w:rPr>
        <w:t xml:space="preserve">ese </w:t>
      </w:r>
      <w:r w:rsidR="003778EA">
        <w:rPr>
          <w:rFonts w:ascii="Arial" w:hAnsi="Arial" w:cs="Arial"/>
        </w:rPr>
        <w:t xml:space="preserve">policies </w:t>
      </w:r>
      <w:r w:rsidR="00AD2DDA">
        <w:rPr>
          <w:rFonts w:ascii="Arial" w:hAnsi="Arial" w:cs="Arial"/>
        </w:rPr>
        <w:t xml:space="preserve">are </w:t>
      </w:r>
      <w:r w:rsidR="009C05D0">
        <w:rPr>
          <w:rFonts w:ascii="Arial" w:hAnsi="Arial" w:cs="Arial"/>
        </w:rPr>
        <w:t xml:space="preserve">internal barriers </w:t>
      </w:r>
      <w:r w:rsidR="003778EA">
        <w:rPr>
          <w:rFonts w:ascii="Arial" w:hAnsi="Arial" w:cs="Arial"/>
        </w:rPr>
        <w:t>to</w:t>
      </w:r>
      <w:r w:rsidR="009C05D0">
        <w:rPr>
          <w:rFonts w:ascii="Arial" w:hAnsi="Arial" w:cs="Arial"/>
        </w:rPr>
        <w:t xml:space="preserve"> trade in livestock</w:t>
      </w:r>
      <w:r w:rsidR="00C31717">
        <w:rPr>
          <w:rFonts w:ascii="Arial" w:hAnsi="Arial" w:cs="Arial"/>
        </w:rPr>
        <w:t xml:space="preserve">, including </w:t>
      </w:r>
      <w:r w:rsidR="003778EA">
        <w:rPr>
          <w:rFonts w:ascii="Arial" w:hAnsi="Arial" w:cs="Arial"/>
        </w:rPr>
        <w:t xml:space="preserve">taxes, movement certificates, and veterinary certificates that limit the movement of livestock between </w:t>
      </w:r>
      <w:r w:rsidR="00C31717">
        <w:rPr>
          <w:rFonts w:ascii="Arial" w:hAnsi="Arial" w:cs="Arial"/>
        </w:rPr>
        <w:t xml:space="preserve">different </w:t>
      </w:r>
      <w:r w:rsidR="003778EA">
        <w:rPr>
          <w:rFonts w:ascii="Arial" w:hAnsi="Arial" w:cs="Arial"/>
        </w:rPr>
        <w:t>counties in Kenya. The project targets the removal of six key trade barriers to scaling (ILRI, 2016</w:t>
      </w:r>
      <w:r w:rsidR="00ED02F8">
        <w:rPr>
          <w:rFonts w:ascii="Arial" w:hAnsi="Arial" w:cs="Arial"/>
        </w:rPr>
        <w:t>, pp.</w:t>
      </w:r>
      <w:r w:rsidR="003778EA">
        <w:rPr>
          <w:rFonts w:ascii="Arial" w:hAnsi="Arial" w:cs="Arial"/>
        </w:rPr>
        <w:t xml:space="preserve"> 43-44). </w:t>
      </w:r>
      <w:r w:rsidR="00EC439F">
        <w:rPr>
          <w:rFonts w:ascii="Arial" w:hAnsi="Arial" w:cs="Arial"/>
        </w:rPr>
        <w:t>Policy engagement around seed systems is complicated by the fluid nature of government policy –</w:t>
      </w:r>
      <w:r w:rsidR="00C31717">
        <w:rPr>
          <w:rFonts w:ascii="Arial" w:hAnsi="Arial" w:cs="Arial"/>
        </w:rPr>
        <w:t xml:space="preserve"> </w:t>
      </w:r>
      <w:r w:rsidR="00EC439F">
        <w:rPr>
          <w:rFonts w:ascii="Arial" w:hAnsi="Arial" w:cs="Arial"/>
        </w:rPr>
        <w:t xml:space="preserve">making, with some Seed Acts not yet </w:t>
      </w:r>
      <w:r w:rsidR="00EC439F" w:rsidRPr="00EC439F">
        <w:rPr>
          <w:rFonts w:ascii="Arial" w:hAnsi="Arial" w:cs="Arial"/>
        </w:rPr>
        <w:t>implemented (</w:t>
      </w:r>
      <w:r w:rsidR="0018305E" w:rsidRPr="00EC439F">
        <w:rPr>
          <w:rFonts w:ascii="Arial" w:hAnsi="Arial" w:cs="Arial"/>
        </w:rPr>
        <w:t xml:space="preserve">IFPRI, </w:t>
      </w:r>
      <w:r w:rsidR="00130C91" w:rsidRPr="00EC439F">
        <w:rPr>
          <w:rFonts w:ascii="Arial" w:hAnsi="Arial" w:cs="Arial"/>
        </w:rPr>
        <w:t>201</w:t>
      </w:r>
      <w:r w:rsidR="00694E7E">
        <w:rPr>
          <w:rFonts w:ascii="Arial" w:hAnsi="Arial" w:cs="Arial"/>
        </w:rPr>
        <w:t>8</w:t>
      </w:r>
      <w:r w:rsidR="00130C91" w:rsidRPr="00EC439F">
        <w:rPr>
          <w:rFonts w:ascii="Arial" w:hAnsi="Arial" w:cs="Arial"/>
        </w:rPr>
        <w:t>).</w:t>
      </w:r>
      <w:r w:rsidR="00C31717">
        <w:rPr>
          <w:rFonts w:ascii="Arial" w:hAnsi="Arial" w:cs="Arial"/>
        </w:rPr>
        <w:t xml:space="preserve"> Influencing policy requires specialist expertise and time. This may explain the reluctance of these projects to invest resources in this component of the scaling framework.</w:t>
      </w:r>
      <w:r w:rsidR="00B35233">
        <w:rPr>
          <w:rFonts w:ascii="Arial" w:hAnsi="Arial" w:cs="Arial"/>
        </w:rPr>
        <w:t xml:space="preserve"> </w:t>
      </w:r>
      <w:r w:rsidR="00284E34" w:rsidRPr="00284E34">
        <w:rPr>
          <w:rFonts w:ascii="Arial" w:hAnsi="Arial" w:cs="Arial"/>
          <w:b/>
          <w:bCs/>
        </w:rPr>
        <w:t xml:space="preserve">Upstream research </w:t>
      </w:r>
      <w:r w:rsidR="00C31717" w:rsidRPr="00C31717">
        <w:rPr>
          <w:rFonts w:ascii="Arial" w:hAnsi="Arial" w:cs="Arial"/>
        </w:rPr>
        <w:t>does not feature prominently in the</w:t>
      </w:r>
      <w:r w:rsidR="00C31717">
        <w:rPr>
          <w:rFonts w:ascii="Arial" w:hAnsi="Arial" w:cs="Arial"/>
          <w:b/>
          <w:bCs/>
        </w:rPr>
        <w:t xml:space="preserve"> </w:t>
      </w:r>
      <w:r w:rsidR="00284E34">
        <w:rPr>
          <w:rFonts w:ascii="Arial" w:hAnsi="Arial" w:cs="Arial"/>
        </w:rPr>
        <w:t xml:space="preserve">design of </w:t>
      </w:r>
      <w:r w:rsidR="00C31717">
        <w:rPr>
          <w:rFonts w:ascii="Arial" w:hAnsi="Arial" w:cs="Arial"/>
        </w:rPr>
        <w:t xml:space="preserve">all </w:t>
      </w:r>
      <w:r w:rsidR="00284E34">
        <w:rPr>
          <w:rFonts w:ascii="Arial" w:hAnsi="Arial" w:cs="Arial"/>
        </w:rPr>
        <w:t xml:space="preserve">four projects. </w:t>
      </w:r>
      <w:r w:rsidR="009C05D0">
        <w:rPr>
          <w:rFonts w:ascii="Arial" w:hAnsi="Arial" w:cs="Arial"/>
        </w:rPr>
        <w:t xml:space="preserve"> </w:t>
      </w:r>
      <w:r w:rsidR="00D5304E">
        <w:rPr>
          <w:rFonts w:ascii="Arial" w:hAnsi="Arial" w:cs="Arial"/>
        </w:rPr>
        <w:t>The framework defines this component as “</w:t>
      </w:r>
      <w:r w:rsidR="00D5304E" w:rsidRPr="00D5304E">
        <w:rPr>
          <w:rFonts w:ascii="Arial" w:hAnsi="Arial" w:cs="Arial"/>
          <w:i/>
          <w:iCs/>
        </w:rPr>
        <w:t>insights used to inform discovery &amp; proof of concept research</w:t>
      </w:r>
      <w:r w:rsidR="00D5304E">
        <w:rPr>
          <w:rFonts w:ascii="Arial" w:hAnsi="Arial" w:cs="Arial"/>
        </w:rPr>
        <w:t xml:space="preserve">” (Figure 1). </w:t>
      </w:r>
      <w:r w:rsidR="00652CA6">
        <w:rPr>
          <w:rFonts w:ascii="Arial" w:hAnsi="Arial" w:cs="Arial"/>
        </w:rPr>
        <w:t xml:space="preserve">This component is associated with research projects. </w:t>
      </w:r>
      <w:r w:rsidR="00C31717">
        <w:rPr>
          <w:rFonts w:ascii="Arial" w:hAnsi="Arial" w:cs="Arial"/>
        </w:rPr>
        <w:t>T</w:t>
      </w:r>
      <w:r w:rsidR="00652CA6">
        <w:rPr>
          <w:rFonts w:ascii="Arial" w:hAnsi="Arial" w:cs="Arial"/>
        </w:rPr>
        <w:t xml:space="preserve">he </w:t>
      </w:r>
      <w:r w:rsidR="002702EE">
        <w:rPr>
          <w:rFonts w:ascii="Arial" w:hAnsi="Arial" w:cs="Arial"/>
        </w:rPr>
        <w:t xml:space="preserve">discoveries of the </w:t>
      </w:r>
      <w:r w:rsidR="00652CA6">
        <w:rPr>
          <w:rFonts w:ascii="Arial" w:hAnsi="Arial" w:cs="Arial"/>
        </w:rPr>
        <w:t xml:space="preserve">TL </w:t>
      </w:r>
      <w:r w:rsidR="00C31717">
        <w:rPr>
          <w:rFonts w:ascii="Arial" w:hAnsi="Arial" w:cs="Arial"/>
        </w:rPr>
        <w:t xml:space="preserve">III </w:t>
      </w:r>
      <w:r w:rsidR="00652CA6">
        <w:rPr>
          <w:rFonts w:ascii="Arial" w:hAnsi="Arial" w:cs="Arial"/>
        </w:rPr>
        <w:t xml:space="preserve">breeding program fill an entire issue of </w:t>
      </w:r>
      <w:r w:rsidR="00652CA6" w:rsidRPr="00652CA6">
        <w:rPr>
          <w:rFonts w:ascii="Arial" w:hAnsi="Arial" w:cs="Arial"/>
          <w:i/>
          <w:iCs/>
        </w:rPr>
        <w:t>Plant Breeding</w:t>
      </w:r>
      <w:r w:rsidR="00652CA6">
        <w:rPr>
          <w:rFonts w:ascii="Arial" w:hAnsi="Arial" w:cs="Arial"/>
        </w:rPr>
        <w:t xml:space="preserve"> (Varsh</w:t>
      </w:r>
      <w:r w:rsidR="00ED02F8">
        <w:rPr>
          <w:rFonts w:ascii="Arial" w:hAnsi="Arial" w:cs="Arial"/>
        </w:rPr>
        <w:t>n</w:t>
      </w:r>
      <w:r w:rsidR="00652CA6">
        <w:rPr>
          <w:rFonts w:ascii="Arial" w:hAnsi="Arial" w:cs="Arial"/>
        </w:rPr>
        <w:t>ey</w:t>
      </w:r>
      <w:r w:rsidR="00ED02F8">
        <w:rPr>
          <w:rFonts w:ascii="Arial" w:hAnsi="Arial" w:cs="Arial"/>
        </w:rPr>
        <w:t xml:space="preserve">, </w:t>
      </w:r>
      <w:r w:rsidR="00652CA6">
        <w:rPr>
          <w:rFonts w:ascii="Arial" w:hAnsi="Arial" w:cs="Arial"/>
        </w:rPr>
        <w:t xml:space="preserve">2019). </w:t>
      </w:r>
      <w:r w:rsidR="00C31717" w:rsidRPr="00C31717">
        <w:rPr>
          <w:rFonts w:ascii="Arial" w:hAnsi="Arial" w:cs="Arial"/>
          <w:b/>
          <w:bCs/>
        </w:rPr>
        <w:t xml:space="preserve">Upstream research </w:t>
      </w:r>
      <w:r w:rsidR="00D5304E">
        <w:rPr>
          <w:rFonts w:ascii="Arial" w:hAnsi="Arial" w:cs="Arial"/>
        </w:rPr>
        <w:t xml:space="preserve">might </w:t>
      </w:r>
      <w:r w:rsidR="00652CA6">
        <w:rPr>
          <w:rFonts w:ascii="Arial" w:hAnsi="Arial" w:cs="Arial"/>
        </w:rPr>
        <w:t xml:space="preserve">seem </w:t>
      </w:r>
      <w:r w:rsidR="00D5304E">
        <w:rPr>
          <w:rFonts w:ascii="Arial" w:hAnsi="Arial" w:cs="Arial"/>
        </w:rPr>
        <w:t>irrelevant for scaling projects</w:t>
      </w:r>
      <w:r w:rsidR="002702EE">
        <w:rPr>
          <w:rFonts w:ascii="Arial" w:hAnsi="Arial" w:cs="Arial"/>
        </w:rPr>
        <w:t xml:space="preserve"> that </w:t>
      </w:r>
      <w:r w:rsidR="00D5304E">
        <w:rPr>
          <w:rFonts w:ascii="Arial" w:hAnsi="Arial" w:cs="Arial"/>
        </w:rPr>
        <w:t>promote existing technology</w:t>
      </w:r>
      <w:r w:rsidR="00C31717">
        <w:rPr>
          <w:rFonts w:ascii="Arial" w:hAnsi="Arial" w:cs="Arial"/>
        </w:rPr>
        <w:t xml:space="preserve">, but </w:t>
      </w:r>
      <w:r w:rsidR="00D5304E">
        <w:rPr>
          <w:rFonts w:ascii="Arial" w:hAnsi="Arial" w:cs="Arial"/>
        </w:rPr>
        <w:t xml:space="preserve">there is much still to discover about </w:t>
      </w:r>
      <w:r w:rsidR="00C31717">
        <w:rPr>
          <w:rFonts w:ascii="Arial" w:hAnsi="Arial" w:cs="Arial"/>
        </w:rPr>
        <w:t xml:space="preserve">the effectiveness of different </w:t>
      </w:r>
      <w:r w:rsidR="00D5304E">
        <w:rPr>
          <w:rFonts w:ascii="Arial" w:hAnsi="Arial" w:cs="Arial"/>
        </w:rPr>
        <w:t xml:space="preserve">scaling </w:t>
      </w:r>
      <w:r w:rsidR="00C31717">
        <w:rPr>
          <w:rFonts w:ascii="Arial" w:hAnsi="Arial" w:cs="Arial"/>
        </w:rPr>
        <w:t>methods. We return to this subject later</w:t>
      </w:r>
      <w:r w:rsidR="00B35233">
        <w:rPr>
          <w:rFonts w:ascii="Arial" w:hAnsi="Arial" w:cs="Arial"/>
        </w:rPr>
        <w:t xml:space="preserve"> in this section.</w:t>
      </w:r>
    </w:p>
    <w:p w14:paraId="6C9B0518" w14:textId="77777777" w:rsidR="00BD21E9" w:rsidRDefault="00BD21E9" w:rsidP="00007080">
      <w:pPr>
        <w:pStyle w:val="Footer"/>
        <w:jc w:val="both"/>
        <w:rPr>
          <w:rFonts w:ascii="Arial" w:hAnsi="Arial" w:cs="Arial"/>
        </w:rPr>
      </w:pPr>
    </w:p>
    <w:p w14:paraId="71679D47" w14:textId="74475C2E" w:rsidR="00527E21" w:rsidRDefault="00BE3F74" w:rsidP="00527E21">
      <w:pPr>
        <w:pStyle w:val="Footer"/>
        <w:jc w:val="both"/>
        <w:rPr>
          <w:rFonts w:ascii="Arial" w:hAnsi="Arial" w:cs="Arial"/>
        </w:rPr>
      </w:pPr>
      <w:r>
        <w:rPr>
          <w:rFonts w:ascii="Arial" w:hAnsi="Arial" w:cs="Arial"/>
        </w:rPr>
        <w:t>Of course, t</w:t>
      </w:r>
      <w:r w:rsidR="00B35233">
        <w:rPr>
          <w:rFonts w:ascii="Arial" w:hAnsi="Arial" w:cs="Arial"/>
        </w:rPr>
        <w:t>he</w:t>
      </w:r>
      <w:r w:rsidR="006F53C3">
        <w:rPr>
          <w:rFonts w:ascii="Arial" w:hAnsi="Arial" w:cs="Arial"/>
        </w:rPr>
        <w:t>se</w:t>
      </w:r>
      <w:r w:rsidR="00B35233">
        <w:rPr>
          <w:rFonts w:ascii="Arial" w:hAnsi="Arial" w:cs="Arial"/>
        </w:rPr>
        <w:t xml:space="preserve"> gaps identified by the scaling framework may </w:t>
      </w:r>
      <w:r w:rsidR="002702EE">
        <w:rPr>
          <w:rFonts w:ascii="Arial" w:hAnsi="Arial" w:cs="Arial"/>
        </w:rPr>
        <w:t xml:space="preserve">not be genuine gaps if they are addressed </w:t>
      </w:r>
      <w:r w:rsidR="00527E21">
        <w:rPr>
          <w:rFonts w:ascii="Arial" w:hAnsi="Arial" w:cs="Arial"/>
        </w:rPr>
        <w:t xml:space="preserve">by other programs or projects. </w:t>
      </w:r>
      <w:r w:rsidR="00B35233">
        <w:rPr>
          <w:rFonts w:ascii="Arial" w:hAnsi="Arial" w:cs="Arial"/>
        </w:rPr>
        <w:t>I</w:t>
      </w:r>
      <w:r w:rsidR="00EC439F">
        <w:rPr>
          <w:rFonts w:ascii="Arial" w:hAnsi="Arial" w:cs="Arial"/>
        </w:rPr>
        <w:t xml:space="preserve">ndividual projects may not have to address all </w:t>
      </w:r>
      <w:r w:rsidR="00B35233">
        <w:rPr>
          <w:rFonts w:ascii="Arial" w:hAnsi="Arial" w:cs="Arial"/>
        </w:rPr>
        <w:t xml:space="preserve">nine </w:t>
      </w:r>
      <w:r w:rsidR="00EC439F">
        <w:rPr>
          <w:rFonts w:ascii="Arial" w:hAnsi="Arial" w:cs="Arial"/>
        </w:rPr>
        <w:t xml:space="preserve">components of the scaling framework in relation to market development.  </w:t>
      </w:r>
      <w:r w:rsidR="002702EE">
        <w:rPr>
          <w:rFonts w:ascii="Arial" w:hAnsi="Arial" w:cs="Arial"/>
        </w:rPr>
        <w:t xml:space="preserve">Both HOPE 2 and TL III were </w:t>
      </w:r>
      <w:r w:rsidR="00B35233">
        <w:rPr>
          <w:rFonts w:ascii="Arial" w:hAnsi="Arial" w:cs="Arial"/>
        </w:rPr>
        <w:t xml:space="preserve">part of a continuum of </w:t>
      </w:r>
      <w:r w:rsidR="002702EE">
        <w:rPr>
          <w:rFonts w:ascii="Arial" w:hAnsi="Arial" w:cs="Arial"/>
        </w:rPr>
        <w:t>older projects. TL III succeeded two earlier phases lasting seven years (2007-2014), while HOPE 2 followed one earlier phase of five years (2010-2016). This meant they could build on a legacy of previous research. Similarly, scaling in the AVDC project was complemented by other USAID-funded projects on policy, livestock marketing, and value chain development (</w:t>
      </w:r>
      <w:r w:rsidR="00694E7E">
        <w:rPr>
          <w:rFonts w:ascii="Arial" w:hAnsi="Arial" w:cs="Arial"/>
        </w:rPr>
        <w:t xml:space="preserve">ILRI, 2016, pp. </w:t>
      </w:r>
      <w:r w:rsidR="002702EE">
        <w:rPr>
          <w:rFonts w:ascii="Arial" w:hAnsi="Arial" w:cs="Arial"/>
        </w:rPr>
        <w:t xml:space="preserve">2-3). </w:t>
      </w:r>
      <w:r w:rsidR="00527E21">
        <w:rPr>
          <w:rFonts w:ascii="Arial" w:hAnsi="Arial" w:cs="Arial"/>
        </w:rPr>
        <w:t>However,</w:t>
      </w:r>
      <w:r w:rsidR="00EC439F">
        <w:rPr>
          <w:rFonts w:ascii="Arial" w:hAnsi="Arial" w:cs="Arial"/>
        </w:rPr>
        <w:t xml:space="preserve"> </w:t>
      </w:r>
      <w:r w:rsidR="00B35233">
        <w:rPr>
          <w:rFonts w:ascii="Arial" w:hAnsi="Arial" w:cs="Arial"/>
        </w:rPr>
        <w:t xml:space="preserve">the scaling framework can be used to identify these </w:t>
      </w:r>
      <w:r w:rsidR="00527E21">
        <w:rPr>
          <w:rFonts w:ascii="Arial" w:hAnsi="Arial" w:cs="Arial"/>
        </w:rPr>
        <w:t>complementarities at the design stage</w:t>
      </w:r>
      <w:r w:rsidR="00B35233">
        <w:rPr>
          <w:rFonts w:ascii="Arial" w:hAnsi="Arial" w:cs="Arial"/>
        </w:rPr>
        <w:t xml:space="preserve"> to avoid gaps appearing during implementation.</w:t>
      </w:r>
      <w:r w:rsidR="00EC439F">
        <w:rPr>
          <w:rFonts w:ascii="Arial" w:hAnsi="Arial" w:cs="Arial"/>
        </w:rPr>
        <w:t xml:space="preserve"> </w:t>
      </w:r>
    </w:p>
    <w:p w14:paraId="025F9D5F" w14:textId="77777777" w:rsidR="00AD352C" w:rsidRDefault="00AD352C" w:rsidP="00527E21">
      <w:pPr>
        <w:pStyle w:val="Footer"/>
        <w:jc w:val="both"/>
        <w:rPr>
          <w:rFonts w:ascii="Arial" w:hAnsi="Arial" w:cs="Arial"/>
        </w:rPr>
      </w:pPr>
    </w:p>
    <w:p w14:paraId="539C03D0" w14:textId="1C918D3F" w:rsidR="00850A00" w:rsidRPr="0088102E" w:rsidRDefault="00850A00" w:rsidP="00850A00">
      <w:pPr>
        <w:pStyle w:val="Footer"/>
        <w:jc w:val="both"/>
        <w:rPr>
          <w:rFonts w:ascii="Arial" w:hAnsi="Arial" w:cs="Arial"/>
        </w:rPr>
      </w:pPr>
      <w:r w:rsidRPr="0088102E">
        <w:rPr>
          <w:rFonts w:ascii="Arial" w:hAnsi="Arial" w:cs="Arial"/>
        </w:rPr>
        <w:t xml:space="preserve">The </w:t>
      </w:r>
      <w:r>
        <w:rPr>
          <w:rFonts w:ascii="Arial" w:hAnsi="Arial" w:cs="Arial"/>
        </w:rPr>
        <w:t xml:space="preserve">scaling </w:t>
      </w:r>
      <w:r w:rsidRPr="0088102E">
        <w:rPr>
          <w:rFonts w:ascii="Arial" w:hAnsi="Arial" w:cs="Arial"/>
        </w:rPr>
        <w:t xml:space="preserve">framework </w:t>
      </w:r>
      <w:r>
        <w:rPr>
          <w:rFonts w:ascii="Arial" w:hAnsi="Arial" w:cs="Arial"/>
        </w:rPr>
        <w:t xml:space="preserve">can also help </w:t>
      </w:r>
      <w:r w:rsidRPr="0088102E">
        <w:rPr>
          <w:rFonts w:ascii="Arial" w:hAnsi="Arial" w:cs="Arial"/>
        </w:rPr>
        <w:t>identif</w:t>
      </w:r>
      <w:r>
        <w:rPr>
          <w:rFonts w:ascii="Arial" w:hAnsi="Arial" w:cs="Arial"/>
        </w:rPr>
        <w:t xml:space="preserve">y scaling </w:t>
      </w:r>
      <w:r w:rsidRPr="0088102E">
        <w:rPr>
          <w:rFonts w:ascii="Arial" w:hAnsi="Arial" w:cs="Arial"/>
        </w:rPr>
        <w:t xml:space="preserve">components that deserve greater attention. Among these we may single out </w:t>
      </w:r>
      <w:r w:rsidRPr="0088102E">
        <w:rPr>
          <w:rFonts w:ascii="Arial" w:hAnsi="Arial" w:cs="Arial"/>
          <w:b/>
          <w:bCs/>
        </w:rPr>
        <w:t>Feedback Systems</w:t>
      </w:r>
      <w:r w:rsidRPr="0088102E">
        <w:rPr>
          <w:rFonts w:ascii="Arial" w:hAnsi="Arial" w:cs="Arial"/>
        </w:rPr>
        <w:t xml:space="preserve">. All four projects included </w:t>
      </w:r>
      <w:r w:rsidR="004A21BE">
        <w:rPr>
          <w:rFonts w:ascii="Arial" w:hAnsi="Arial" w:cs="Arial"/>
        </w:rPr>
        <w:t>‘</w:t>
      </w:r>
      <w:r w:rsidRPr="0088102E">
        <w:rPr>
          <w:rFonts w:ascii="Arial" w:hAnsi="Arial" w:cs="Arial"/>
        </w:rPr>
        <w:t xml:space="preserve">learning’ as part of their M &amp; E systems. In practice, however, </w:t>
      </w:r>
      <w:r w:rsidR="004A21BE">
        <w:rPr>
          <w:rFonts w:ascii="Arial" w:hAnsi="Arial" w:cs="Arial"/>
        </w:rPr>
        <w:t xml:space="preserve">for </w:t>
      </w:r>
      <w:r>
        <w:rPr>
          <w:rFonts w:ascii="Arial" w:hAnsi="Arial" w:cs="Arial"/>
        </w:rPr>
        <w:t xml:space="preserve">large projects burdened with multiple milestones, </w:t>
      </w:r>
      <w:r w:rsidRPr="0088102E">
        <w:rPr>
          <w:rFonts w:ascii="Arial" w:hAnsi="Arial" w:cs="Arial"/>
        </w:rPr>
        <w:t xml:space="preserve">the </w:t>
      </w:r>
      <w:r>
        <w:rPr>
          <w:rFonts w:ascii="Arial" w:hAnsi="Arial" w:cs="Arial"/>
        </w:rPr>
        <w:t xml:space="preserve">tyranny of the logical framework </w:t>
      </w:r>
      <w:r w:rsidRPr="0088102E">
        <w:rPr>
          <w:rFonts w:ascii="Arial" w:hAnsi="Arial" w:cs="Arial"/>
        </w:rPr>
        <w:t xml:space="preserve">means that </w:t>
      </w:r>
      <w:r w:rsidR="004A21BE">
        <w:rPr>
          <w:rFonts w:ascii="Arial" w:hAnsi="Arial" w:cs="Arial"/>
        </w:rPr>
        <w:t xml:space="preserve">only lip-service is paid to </w:t>
      </w:r>
      <w:r w:rsidR="004A21BE">
        <w:rPr>
          <w:rFonts w:ascii="Arial" w:hAnsi="Arial" w:cs="Arial"/>
        </w:rPr>
        <w:lastRenderedPageBreak/>
        <w:t>learning, with the result that learning becomes the ‘invisible output’.</w:t>
      </w:r>
      <w:r>
        <w:rPr>
          <w:rStyle w:val="FootnoteReference"/>
          <w:rFonts w:ascii="Arial" w:hAnsi="Arial" w:cs="Arial"/>
        </w:rPr>
        <w:footnoteReference w:id="1"/>
      </w:r>
      <w:r w:rsidRPr="0088102E">
        <w:rPr>
          <w:rFonts w:ascii="Arial" w:hAnsi="Arial" w:cs="Arial"/>
        </w:rPr>
        <w:t xml:space="preserve"> </w:t>
      </w:r>
      <w:r w:rsidR="004A21BE">
        <w:rPr>
          <w:rFonts w:ascii="Arial" w:hAnsi="Arial" w:cs="Arial"/>
        </w:rPr>
        <w:t>S</w:t>
      </w:r>
      <w:r w:rsidRPr="0088102E">
        <w:rPr>
          <w:rFonts w:ascii="Arial" w:hAnsi="Arial" w:cs="Arial"/>
        </w:rPr>
        <w:t>ome case-study projects did make a conscious effort to learn. The proposal documents for HOPE and TL III include sections and appendices that list learning</w:t>
      </w:r>
      <w:r w:rsidR="004A21BE">
        <w:rPr>
          <w:rFonts w:ascii="Arial" w:hAnsi="Arial" w:cs="Arial"/>
        </w:rPr>
        <w:t>; t</w:t>
      </w:r>
      <w:r w:rsidRPr="0088102E">
        <w:rPr>
          <w:rFonts w:ascii="Arial" w:hAnsi="Arial" w:cs="Arial"/>
        </w:rPr>
        <w:t>here are also examples of project publications that synthesise lessons (</w:t>
      </w:r>
      <w:proofErr w:type="spellStart"/>
      <w:r w:rsidRPr="0088102E">
        <w:rPr>
          <w:rFonts w:ascii="Arial" w:hAnsi="Arial" w:cs="Arial"/>
        </w:rPr>
        <w:t>Monyo</w:t>
      </w:r>
      <w:proofErr w:type="spellEnd"/>
      <w:r w:rsidRPr="0088102E">
        <w:rPr>
          <w:rFonts w:ascii="Arial" w:hAnsi="Arial" w:cs="Arial"/>
        </w:rPr>
        <w:t xml:space="preserve"> and </w:t>
      </w:r>
      <w:r>
        <w:rPr>
          <w:rFonts w:ascii="Arial" w:hAnsi="Arial" w:cs="Arial"/>
        </w:rPr>
        <w:t>Varshney, 2016</w:t>
      </w:r>
      <w:r w:rsidRPr="0088102E">
        <w:rPr>
          <w:rFonts w:ascii="Arial" w:hAnsi="Arial" w:cs="Arial"/>
        </w:rPr>
        <w:t xml:space="preserve">). But </w:t>
      </w:r>
      <w:r w:rsidR="004A21BE">
        <w:rPr>
          <w:rFonts w:ascii="Arial" w:hAnsi="Arial" w:cs="Arial"/>
        </w:rPr>
        <w:t xml:space="preserve">learning </w:t>
      </w:r>
      <w:r w:rsidR="00B41E3B">
        <w:rPr>
          <w:rFonts w:ascii="Arial" w:hAnsi="Arial" w:cs="Arial"/>
        </w:rPr>
        <w:t xml:space="preserve">is </w:t>
      </w:r>
      <w:r w:rsidRPr="0088102E">
        <w:rPr>
          <w:rFonts w:ascii="Arial" w:hAnsi="Arial" w:cs="Arial"/>
        </w:rPr>
        <w:t xml:space="preserve">often </w:t>
      </w:r>
      <w:r w:rsidR="00B41E3B">
        <w:rPr>
          <w:rFonts w:ascii="Arial" w:hAnsi="Arial" w:cs="Arial"/>
        </w:rPr>
        <w:t xml:space="preserve">left to </w:t>
      </w:r>
      <w:r w:rsidRPr="0088102E">
        <w:rPr>
          <w:rFonts w:ascii="Arial" w:hAnsi="Arial" w:cs="Arial"/>
        </w:rPr>
        <w:t>the discretion of the project manager.</w:t>
      </w:r>
      <w:r>
        <w:rPr>
          <w:rStyle w:val="FootnoteReference"/>
          <w:rFonts w:ascii="Arial" w:hAnsi="Arial" w:cs="Arial"/>
        </w:rPr>
        <w:footnoteReference w:id="2"/>
      </w:r>
      <w:r w:rsidRPr="0088102E">
        <w:rPr>
          <w:rFonts w:ascii="Arial" w:hAnsi="Arial" w:cs="Arial"/>
        </w:rPr>
        <w:t xml:space="preserve"> Learning needs to be made more systematic</w:t>
      </w:r>
      <w:r w:rsidR="004A21BE">
        <w:rPr>
          <w:rFonts w:ascii="Arial" w:hAnsi="Arial" w:cs="Arial"/>
        </w:rPr>
        <w:t>. Table 2 shows no evidence that specific learning outputs were identified at the design stage of these scaling projects, or how thes</w:t>
      </w:r>
      <w:r>
        <w:rPr>
          <w:rFonts w:ascii="Arial" w:hAnsi="Arial" w:cs="Arial"/>
        </w:rPr>
        <w:t>e lessons will be used to change the design of the project</w:t>
      </w:r>
      <w:r w:rsidR="004A21BE">
        <w:rPr>
          <w:rFonts w:ascii="Arial" w:hAnsi="Arial" w:cs="Arial"/>
        </w:rPr>
        <w:t xml:space="preserve"> during implementation</w:t>
      </w:r>
      <w:r>
        <w:rPr>
          <w:rFonts w:ascii="Arial" w:hAnsi="Arial" w:cs="Arial"/>
        </w:rPr>
        <w:t>.</w:t>
      </w:r>
    </w:p>
    <w:p w14:paraId="77D2291D" w14:textId="77777777" w:rsidR="00850A00" w:rsidRDefault="00850A00" w:rsidP="0067449B">
      <w:pPr>
        <w:pStyle w:val="Footer"/>
        <w:jc w:val="both"/>
        <w:rPr>
          <w:rFonts w:ascii="Arial" w:hAnsi="Arial" w:cs="Arial"/>
        </w:rPr>
      </w:pPr>
    </w:p>
    <w:p w14:paraId="5EEABF4E" w14:textId="6C6D5695" w:rsidR="00527E21" w:rsidRDefault="002702EE" w:rsidP="0061261D">
      <w:pPr>
        <w:pStyle w:val="Footer"/>
        <w:jc w:val="both"/>
        <w:rPr>
          <w:rFonts w:ascii="Arial" w:hAnsi="Arial" w:cs="Arial"/>
          <w:b/>
          <w:bCs/>
        </w:rPr>
      </w:pPr>
      <w:r>
        <w:rPr>
          <w:rFonts w:ascii="Arial" w:hAnsi="Arial" w:cs="Arial"/>
        </w:rPr>
        <w:t xml:space="preserve">Another </w:t>
      </w:r>
      <w:r w:rsidR="00D9776B">
        <w:rPr>
          <w:rFonts w:ascii="Arial" w:hAnsi="Arial" w:cs="Arial"/>
        </w:rPr>
        <w:t xml:space="preserve">use of </w:t>
      </w:r>
      <w:r>
        <w:rPr>
          <w:rFonts w:ascii="Arial" w:hAnsi="Arial" w:cs="Arial"/>
        </w:rPr>
        <w:t xml:space="preserve">the scaling framework at the design stage is to </w:t>
      </w:r>
      <w:r w:rsidR="00D9776B">
        <w:rPr>
          <w:rFonts w:ascii="Arial" w:hAnsi="Arial" w:cs="Arial"/>
        </w:rPr>
        <w:t xml:space="preserve">direct </w:t>
      </w:r>
      <w:r>
        <w:rPr>
          <w:rFonts w:ascii="Arial" w:hAnsi="Arial" w:cs="Arial"/>
        </w:rPr>
        <w:t xml:space="preserve">attention on the methods themselves. Table 2 </w:t>
      </w:r>
      <w:r w:rsidR="00D9776B">
        <w:rPr>
          <w:rFonts w:ascii="Arial" w:hAnsi="Arial" w:cs="Arial"/>
        </w:rPr>
        <w:t xml:space="preserve">shows an impressive range of scaling methods. </w:t>
      </w:r>
      <w:r>
        <w:rPr>
          <w:rFonts w:ascii="Arial" w:hAnsi="Arial" w:cs="Arial"/>
        </w:rPr>
        <w:t xml:space="preserve">However, a closer look </w:t>
      </w:r>
      <w:r w:rsidR="00D9776B">
        <w:rPr>
          <w:rFonts w:ascii="Arial" w:hAnsi="Arial" w:cs="Arial"/>
        </w:rPr>
        <w:t xml:space="preserve">suggests </w:t>
      </w:r>
      <w:r w:rsidR="0061261D">
        <w:rPr>
          <w:rFonts w:ascii="Arial" w:hAnsi="Arial" w:cs="Arial"/>
        </w:rPr>
        <w:t xml:space="preserve">room for improvement. The </w:t>
      </w:r>
      <w:r w:rsidR="0061261D" w:rsidRPr="0061261D">
        <w:rPr>
          <w:rFonts w:ascii="Arial" w:hAnsi="Arial" w:cs="Arial"/>
          <w:b/>
          <w:bCs/>
        </w:rPr>
        <w:t>Awareness and Ability</w:t>
      </w:r>
      <w:r w:rsidR="0061261D">
        <w:rPr>
          <w:rFonts w:ascii="Arial" w:hAnsi="Arial" w:cs="Arial"/>
          <w:b/>
          <w:bCs/>
        </w:rPr>
        <w:t xml:space="preserve"> </w:t>
      </w:r>
      <w:r w:rsidR="0061261D" w:rsidRPr="0061261D">
        <w:rPr>
          <w:rFonts w:ascii="Arial" w:hAnsi="Arial" w:cs="Arial"/>
        </w:rPr>
        <w:t>component shows</w:t>
      </w:r>
      <w:r w:rsidR="0061261D">
        <w:rPr>
          <w:rFonts w:ascii="Arial" w:hAnsi="Arial" w:cs="Arial"/>
        </w:rPr>
        <w:t xml:space="preserve"> the use of new communication methods. A</w:t>
      </w:r>
      <w:r>
        <w:rPr>
          <w:rFonts w:ascii="Arial" w:hAnsi="Arial" w:cs="Arial"/>
        </w:rPr>
        <w:t xml:space="preserve">longside traditional standbys like demonstration plots there are TV programs, video and DVD and the use of local radio for market information. </w:t>
      </w:r>
      <w:r w:rsidR="0061261D" w:rsidRPr="0061261D">
        <w:rPr>
          <w:rFonts w:ascii="Arial" w:hAnsi="Arial" w:cs="Arial"/>
          <w:b/>
          <w:bCs/>
        </w:rPr>
        <w:t>Upstream Research</w:t>
      </w:r>
      <w:r w:rsidR="0061261D">
        <w:rPr>
          <w:rFonts w:ascii="Arial" w:hAnsi="Arial" w:cs="Arial"/>
        </w:rPr>
        <w:t xml:space="preserve"> employs new tools to shorten breeding cycles. But the methods in </w:t>
      </w:r>
      <w:r w:rsidR="0061261D" w:rsidRPr="00D9776B">
        <w:rPr>
          <w:rFonts w:ascii="Arial" w:hAnsi="Arial" w:cs="Arial"/>
          <w:b/>
          <w:bCs/>
        </w:rPr>
        <w:t>Consumer Demand</w:t>
      </w:r>
      <w:r w:rsidR="0061261D">
        <w:rPr>
          <w:rFonts w:ascii="Arial" w:hAnsi="Arial" w:cs="Arial"/>
        </w:rPr>
        <w:t xml:space="preserve"> (“catering to and/or stimulating affordability and availability”) </w:t>
      </w:r>
      <w:r w:rsidR="00D9776B">
        <w:rPr>
          <w:rFonts w:ascii="Arial" w:hAnsi="Arial" w:cs="Arial"/>
        </w:rPr>
        <w:t xml:space="preserve">focus on consumer trait preferences. </w:t>
      </w:r>
      <w:r w:rsidR="00EB7194">
        <w:rPr>
          <w:rFonts w:ascii="Arial" w:hAnsi="Arial" w:cs="Arial"/>
        </w:rPr>
        <w:t xml:space="preserve">Agricultural economists are skilled in providing this information through baseline surveys or choice experiments. But </w:t>
      </w:r>
      <w:r w:rsidR="001E0AE7">
        <w:rPr>
          <w:rFonts w:ascii="Arial" w:hAnsi="Arial" w:cs="Arial"/>
        </w:rPr>
        <w:t xml:space="preserve">national </w:t>
      </w:r>
      <w:r w:rsidR="00EB7194">
        <w:rPr>
          <w:rFonts w:ascii="Arial" w:hAnsi="Arial" w:cs="Arial"/>
        </w:rPr>
        <w:t>programs require other kinds of information</w:t>
      </w:r>
      <w:r w:rsidR="001E0AE7">
        <w:rPr>
          <w:rFonts w:ascii="Arial" w:hAnsi="Arial" w:cs="Arial"/>
        </w:rPr>
        <w:t xml:space="preserve"> to set breeding priorities</w:t>
      </w:r>
      <w:r w:rsidR="00EB7194">
        <w:rPr>
          <w:rFonts w:ascii="Arial" w:hAnsi="Arial" w:cs="Arial"/>
        </w:rPr>
        <w:t xml:space="preserve">, such as the size of the market, </w:t>
      </w:r>
      <w:r w:rsidR="00183271">
        <w:rPr>
          <w:rFonts w:ascii="Arial" w:hAnsi="Arial" w:cs="Arial"/>
        </w:rPr>
        <w:t xml:space="preserve">the various </w:t>
      </w:r>
      <w:r w:rsidR="00EB7194">
        <w:rPr>
          <w:rFonts w:ascii="Arial" w:hAnsi="Arial" w:cs="Arial"/>
        </w:rPr>
        <w:t xml:space="preserve">market segments, and the trait preferences </w:t>
      </w:r>
      <w:r w:rsidR="00183271">
        <w:rPr>
          <w:rFonts w:ascii="Arial" w:hAnsi="Arial" w:cs="Arial"/>
        </w:rPr>
        <w:t xml:space="preserve">of </w:t>
      </w:r>
      <w:r w:rsidR="00EB7194">
        <w:rPr>
          <w:rFonts w:ascii="Arial" w:hAnsi="Arial" w:cs="Arial"/>
        </w:rPr>
        <w:t>these segments.</w:t>
      </w:r>
      <w:r w:rsidR="00183271">
        <w:rPr>
          <w:rFonts w:ascii="Arial" w:hAnsi="Arial" w:cs="Arial"/>
        </w:rPr>
        <w:t xml:space="preserve"> </w:t>
      </w:r>
      <w:r w:rsidR="00EB7194">
        <w:rPr>
          <w:rFonts w:ascii="Arial" w:hAnsi="Arial" w:cs="Arial"/>
        </w:rPr>
        <w:t xml:space="preserve">Yes, economists can </w:t>
      </w:r>
      <w:r w:rsidR="001E0AE7">
        <w:rPr>
          <w:rFonts w:ascii="Arial" w:hAnsi="Arial" w:cs="Arial"/>
        </w:rPr>
        <w:t xml:space="preserve">map value chains and </w:t>
      </w:r>
      <w:r w:rsidR="00EB7194">
        <w:rPr>
          <w:rFonts w:ascii="Arial" w:hAnsi="Arial" w:cs="Arial"/>
        </w:rPr>
        <w:t xml:space="preserve">estimate elasticities of demand. But </w:t>
      </w:r>
      <w:r w:rsidR="00183271">
        <w:rPr>
          <w:rFonts w:ascii="Arial" w:hAnsi="Arial" w:cs="Arial"/>
        </w:rPr>
        <w:t xml:space="preserve">they are </w:t>
      </w:r>
      <w:r w:rsidR="001E0AE7">
        <w:rPr>
          <w:rFonts w:ascii="Arial" w:hAnsi="Arial" w:cs="Arial"/>
        </w:rPr>
        <w:t xml:space="preserve">not market researchers. And it is the tools of market research, like the </w:t>
      </w:r>
      <w:r w:rsidR="00183271">
        <w:rPr>
          <w:rFonts w:ascii="Arial" w:hAnsi="Arial" w:cs="Arial"/>
        </w:rPr>
        <w:t>segmenting-targeting-positioning approach</w:t>
      </w:r>
      <w:r w:rsidR="0031713D">
        <w:rPr>
          <w:rFonts w:ascii="Arial" w:hAnsi="Arial" w:cs="Arial"/>
        </w:rPr>
        <w:t xml:space="preserve">, that breeding programs need to </w:t>
      </w:r>
      <w:r w:rsidR="001E0AE7">
        <w:rPr>
          <w:rFonts w:ascii="Arial" w:hAnsi="Arial" w:cs="Arial"/>
        </w:rPr>
        <w:t xml:space="preserve">develop “customer profiles” that match </w:t>
      </w:r>
      <w:r w:rsidR="0031713D">
        <w:rPr>
          <w:rFonts w:ascii="Arial" w:hAnsi="Arial" w:cs="Arial"/>
        </w:rPr>
        <w:t xml:space="preserve">their </w:t>
      </w:r>
      <w:r w:rsidR="001E0AE7">
        <w:rPr>
          <w:rFonts w:ascii="Arial" w:hAnsi="Arial" w:cs="Arial"/>
        </w:rPr>
        <w:t xml:space="preserve">products with </w:t>
      </w:r>
      <w:r w:rsidR="0031713D">
        <w:rPr>
          <w:rFonts w:ascii="Arial" w:hAnsi="Arial" w:cs="Arial"/>
        </w:rPr>
        <w:t xml:space="preserve">the </w:t>
      </w:r>
      <w:r w:rsidR="001E0AE7">
        <w:rPr>
          <w:rFonts w:ascii="Arial" w:hAnsi="Arial" w:cs="Arial"/>
        </w:rPr>
        <w:t>needs</w:t>
      </w:r>
      <w:r w:rsidR="0031713D">
        <w:rPr>
          <w:rFonts w:ascii="Arial" w:hAnsi="Arial" w:cs="Arial"/>
        </w:rPr>
        <w:t xml:space="preserve"> of their customers </w:t>
      </w:r>
      <w:r w:rsidR="00527E21">
        <w:rPr>
          <w:rFonts w:ascii="Arial" w:hAnsi="Arial" w:cs="Arial"/>
        </w:rPr>
        <w:t xml:space="preserve">(Orr et al., 2018). </w:t>
      </w:r>
      <w:r w:rsidR="006804C6">
        <w:rPr>
          <w:rFonts w:ascii="Arial" w:hAnsi="Arial" w:cs="Arial"/>
        </w:rPr>
        <w:t xml:space="preserve">Breeding programs need </w:t>
      </w:r>
      <w:r w:rsidR="00527E21">
        <w:rPr>
          <w:rFonts w:ascii="Arial" w:hAnsi="Arial" w:cs="Arial"/>
        </w:rPr>
        <w:t xml:space="preserve">methods like these to understand </w:t>
      </w:r>
      <w:r w:rsidR="00527E21" w:rsidRPr="00E44285">
        <w:rPr>
          <w:rFonts w:ascii="Arial" w:hAnsi="Arial" w:cs="Arial"/>
          <w:b/>
          <w:bCs/>
        </w:rPr>
        <w:t>Consumer Demand</w:t>
      </w:r>
      <w:r w:rsidR="00527E21">
        <w:rPr>
          <w:rFonts w:ascii="Arial" w:hAnsi="Arial" w:cs="Arial"/>
          <w:b/>
          <w:bCs/>
        </w:rPr>
        <w:t>.</w:t>
      </w:r>
    </w:p>
    <w:p w14:paraId="4B1630B2" w14:textId="2D56FF1F" w:rsidR="0031713D" w:rsidRDefault="0031713D" w:rsidP="0061261D">
      <w:pPr>
        <w:pStyle w:val="Footer"/>
        <w:jc w:val="both"/>
        <w:rPr>
          <w:rFonts w:ascii="Arial" w:hAnsi="Arial" w:cs="Arial"/>
          <w:b/>
          <w:bCs/>
        </w:rPr>
      </w:pPr>
    </w:p>
    <w:p w14:paraId="05E325D8" w14:textId="4530C442" w:rsidR="007477DB" w:rsidRDefault="0031713D" w:rsidP="007477DB">
      <w:pPr>
        <w:pStyle w:val="Footer"/>
        <w:jc w:val="both"/>
        <w:rPr>
          <w:rFonts w:ascii="Arial" w:hAnsi="Arial" w:cs="Arial"/>
        </w:rPr>
      </w:pPr>
      <w:r>
        <w:rPr>
          <w:rFonts w:ascii="Arial" w:hAnsi="Arial" w:cs="Arial"/>
        </w:rPr>
        <w:t>Scaling projects are fertile ground for testing scaling methods. T</w:t>
      </w:r>
      <w:r w:rsidRPr="0031713D">
        <w:rPr>
          <w:rFonts w:ascii="Arial" w:hAnsi="Arial" w:cs="Arial"/>
        </w:rPr>
        <w:t xml:space="preserve">here is a large literature on </w:t>
      </w:r>
      <w:r>
        <w:rPr>
          <w:rFonts w:ascii="Arial" w:hAnsi="Arial" w:cs="Arial"/>
        </w:rPr>
        <w:t xml:space="preserve">this subject. </w:t>
      </w:r>
      <w:r w:rsidRPr="0031713D">
        <w:rPr>
          <w:rFonts w:ascii="Arial" w:hAnsi="Arial" w:cs="Arial"/>
        </w:rPr>
        <w:t xml:space="preserve">Examples that spring to mind include the </w:t>
      </w:r>
      <w:r w:rsidR="00CC6C12">
        <w:rPr>
          <w:rFonts w:ascii="Arial" w:hAnsi="Arial" w:cs="Arial"/>
        </w:rPr>
        <w:t xml:space="preserve">post-mortem on </w:t>
      </w:r>
      <w:r w:rsidRPr="0031713D">
        <w:rPr>
          <w:rFonts w:ascii="Arial" w:hAnsi="Arial" w:cs="Arial"/>
        </w:rPr>
        <w:t>the Training and Visit (T &amp; V) extension system</w:t>
      </w:r>
      <w:r w:rsidR="00694E7E">
        <w:rPr>
          <w:rFonts w:ascii="Arial" w:hAnsi="Arial" w:cs="Arial"/>
        </w:rPr>
        <w:t xml:space="preserve"> (Feder et. al., 2006)</w:t>
      </w:r>
      <w:r w:rsidRPr="0031713D">
        <w:rPr>
          <w:rFonts w:ascii="Arial" w:hAnsi="Arial" w:cs="Arial"/>
        </w:rPr>
        <w:t xml:space="preserve">, the </w:t>
      </w:r>
      <w:r w:rsidR="00CC6C12">
        <w:rPr>
          <w:rFonts w:ascii="Arial" w:hAnsi="Arial" w:cs="Arial"/>
        </w:rPr>
        <w:t xml:space="preserve">continuing </w:t>
      </w:r>
      <w:r w:rsidRPr="0031713D">
        <w:rPr>
          <w:rFonts w:ascii="Arial" w:hAnsi="Arial" w:cs="Arial"/>
        </w:rPr>
        <w:t>debate over the effectiveness of Farmer Field Schools (</w:t>
      </w:r>
      <w:r w:rsidR="00EE772E">
        <w:rPr>
          <w:rFonts w:ascii="Arial" w:hAnsi="Arial" w:cs="Arial"/>
        </w:rPr>
        <w:t xml:space="preserve">van der Berg and </w:t>
      </w:r>
      <w:proofErr w:type="spellStart"/>
      <w:r w:rsidR="00EE772E">
        <w:rPr>
          <w:rFonts w:ascii="Arial" w:hAnsi="Arial" w:cs="Arial"/>
        </w:rPr>
        <w:t>Jiggins</w:t>
      </w:r>
      <w:proofErr w:type="spellEnd"/>
      <w:r w:rsidR="00EE772E">
        <w:rPr>
          <w:rFonts w:ascii="Arial" w:hAnsi="Arial" w:cs="Arial"/>
        </w:rPr>
        <w:t xml:space="preserve">, 2007; </w:t>
      </w:r>
      <w:r w:rsidR="00694E7E">
        <w:rPr>
          <w:rFonts w:ascii="Arial" w:hAnsi="Arial" w:cs="Arial"/>
        </w:rPr>
        <w:t xml:space="preserve">Feder et al., 2008; </w:t>
      </w:r>
      <w:proofErr w:type="spellStart"/>
      <w:r w:rsidR="00CC6C12">
        <w:rPr>
          <w:rFonts w:ascii="Arial" w:hAnsi="Arial" w:cs="Arial"/>
        </w:rPr>
        <w:t>Friis</w:t>
      </w:r>
      <w:proofErr w:type="spellEnd"/>
      <w:r w:rsidR="00CC6C12">
        <w:rPr>
          <w:rFonts w:ascii="Arial" w:hAnsi="Arial" w:cs="Arial"/>
        </w:rPr>
        <w:t xml:space="preserve">-Hansen and </w:t>
      </w:r>
      <w:proofErr w:type="spellStart"/>
      <w:r w:rsidR="00CC6C12">
        <w:rPr>
          <w:rFonts w:ascii="Arial" w:hAnsi="Arial" w:cs="Arial"/>
        </w:rPr>
        <w:t>Duveskog</w:t>
      </w:r>
      <w:proofErr w:type="spellEnd"/>
      <w:r w:rsidR="00CC6C12">
        <w:rPr>
          <w:rFonts w:ascii="Arial" w:hAnsi="Arial" w:cs="Arial"/>
        </w:rPr>
        <w:t>, 2012)</w:t>
      </w:r>
      <w:r w:rsidR="005330FF">
        <w:rPr>
          <w:rFonts w:ascii="Arial" w:hAnsi="Arial" w:cs="Arial"/>
        </w:rPr>
        <w:t xml:space="preserve"> and a recent study on the effectiveness of Farmer Business Schools (</w:t>
      </w:r>
      <w:proofErr w:type="spellStart"/>
      <w:r w:rsidR="005330FF">
        <w:rPr>
          <w:rFonts w:ascii="Arial" w:hAnsi="Arial" w:cs="Arial"/>
        </w:rPr>
        <w:t>Chilemba</w:t>
      </w:r>
      <w:proofErr w:type="spellEnd"/>
      <w:r w:rsidR="005330FF">
        <w:rPr>
          <w:rFonts w:ascii="Arial" w:hAnsi="Arial" w:cs="Arial"/>
        </w:rPr>
        <w:t xml:space="preserve"> and </w:t>
      </w:r>
      <w:proofErr w:type="spellStart"/>
      <w:r w:rsidR="005330FF">
        <w:rPr>
          <w:rFonts w:ascii="Arial" w:hAnsi="Arial" w:cs="Arial"/>
        </w:rPr>
        <w:t>Ragasa</w:t>
      </w:r>
      <w:proofErr w:type="spellEnd"/>
      <w:r w:rsidR="005330FF">
        <w:rPr>
          <w:rFonts w:ascii="Arial" w:hAnsi="Arial" w:cs="Arial"/>
        </w:rPr>
        <w:t xml:space="preserve">, 2019). </w:t>
      </w:r>
      <w:r w:rsidRPr="0031713D">
        <w:rPr>
          <w:rFonts w:ascii="Arial" w:hAnsi="Arial" w:cs="Arial"/>
        </w:rPr>
        <w:t>Less common are studies that directly compare the effectiveness of two scaling methods</w:t>
      </w:r>
      <w:r w:rsidR="00810C4A">
        <w:rPr>
          <w:rFonts w:ascii="Arial" w:hAnsi="Arial" w:cs="Arial"/>
        </w:rPr>
        <w:t xml:space="preserve">. However, some methods are more effective than others, particularly </w:t>
      </w:r>
      <w:r w:rsidR="005330FF">
        <w:rPr>
          <w:rFonts w:ascii="Arial" w:hAnsi="Arial" w:cs="Arial"/>
        </w:rPr>
        <w:t xml:space="preserve">where </w:t>
      </w:r>
      <w:r w:rsidR="00810C4A">
        <w:rPr>
          <w:rFonts w:ascii="Arial" w:hAnsi="Arial" w:cs="Arial"/>
        </w:rPr>
        <w:t xml:space="preserve">new technology is knowledge-based </w:t>
      </w:r>
      <w:r w:rsidRPr="0031713D">
        <w:rPr>
          <w:rFonts w:ascii="Arial" w:hAnsi="Arial" w:cs="Arial"/>
        </w:rPr>
        <w:t>(</w:t>
      </w:r>
      <w:r w:rsidR="00810C4A">
        <w:rPr>
          <w:rFonts w:ascii="Arial" w:hAnsi="Arial" w:cs="Arial"/>
        </w:rPr>
        <w:t xml:space="preserve">Bentley et. al., </w:t>
      </w:r>
      <w:r w:rsidR="00694E7E">
        <w:rPr>
          <w:rFonts w:ascii="Arial" w:hAnsi="Arial" w:cs="Arial"/>
        </w:rPr>
        <w:t xml:space="preserve">2007; </w:t>
      </w:r>
      <w:r w:rsidR="00CC6C12">
        <w:rPr>
          <w:rFonts w:ascii="Arial" w:hAnsi="Arial" w:cs="Arial"/>
        </w:rPr>
        <w:t xml:space="preserve">Riker-Gilbert et. </w:t>
      </w:r>
      <w:r w:rsidR="00A850B9">
        <w:rPr>
          <w:rFonts w:ascii="Arial" w:hAnsi="Arial" w:cs="Arial"/>
        </w:rPr>
        <w:t>a</w:t>
      </w:r>
      <w:r w:rsidR="00CC6C12">
        <w:rPr>
          <w:rFonts w:ascii="Arial" w:hAnsi="Arial" w:cs="Arial"/>
        </w:rPr>
        <w:t>l., 20</w:t>
      </w:r>
      <w:r w:rsidR="00A850B9">
        <w:rPr>
          <w:rFonts w:ascii="Arial" w:hAnsi="Arial" w:cs="Arial"/>
        </w:rPr>
        <w:t>07</w:t>
      </w:r>
      <w:r w:rsidR="00CC6C12">
        <w:rPr>
          <w:rFonts w:ascii="Arial" w:hAnsi="Arial" w:cs="Arial"/>
        </w:rPr>
        <w:t>).</w:t>
      </w:r>
      <w:r w:rsidR="00810C4A">
        <w:rPr>
          <w:rFonts w:ascii="Arial" w:hAnsi="Arial" w:cs="Arial"/>
        </w:rPr>
        <w:t xml:space="preserve"> </w:t>
      </w:r>
      <w:r w:rsidR="005262D0" w:rsidRPr="007A73F4">
        <w:rPr>
          <w:rFonts w:ascii="Arial" w:hAnsi="Arial" w:cs="Arial"/>
        </w:rPr>
        <w:t xml:space="preserve">A recent review of scaling projects in Malawi found </w:t>
      </w:r>
      <w:r w:rsidR="007A73F4" w:rsidRPr="007A73F4">
        <w:rPr>
          <w:rFonts w:ascii="Arial" w:hAnsi="Arial" w:cs="Arial"/>
        </w:rPr>
        <w:t>little assessment of scaling up methods, and recommended “</w:t>
      </w:r>
      <w:r w:rsidR="007A73F4" w:rsidRPr="007A73F4">
        <w:rPr>
          <w:rFonts w:ascii="Arial" w:hAnsi="Arial" w:cs="Arial"/>
          <w:shd w:val="clear" w:color="auto" w:fill="FFFFFF"/>
        </w:rPr>
        <w:t>qualitative assessments of the methods used for scaling up and share the experiences through a formalized process, rethinking projects to be more amenable to longer term targets, thus enabling more analysis of methods within projects”</w:t>
      </w:r>
      <w:r w:rsidR="007A73F4" w:rsidRPr="007A73F4">
        <w:rPr>
          <w:rFonts w:ascii="Arial" w:hAnsi="Arial" w:cs="Arial"/>
        </w:rPr>
        <w:t xml:space="preserve">  (</w:t>
      </w:r>
      <w:r w:rsidR="002631AF">
        <w:rPr>
          <w:rFonts w:ascii="Arial" w:hAnsi="Arial" w:cs="Arial"/>
        </w:rPr>
        <w:t>IFPRI, 201</w:t>
      </w:r>
      <w:r w:rsidR="00694E7E">
        <w:rPr>
          <w:rFonts w:ascii="Arial" w:hAnsi="Arial" w:cs="Arial"/>
        </w:rPr>
        <w:t>8</w:t>
      </w:r>
      <w:r w:rsidR="007A73F4" w:rsidRPr="007A73F4">
        <w:rPr>
          <w:rFonts w:ascii="Arial" w:hAnsi="Arial" w:cs="Arial"/>
        </w:rPr>
        <w:t xml:space="preserve">). The scaling framework </w:t>
      </w:r>
      <w:r w:rsidR="007477DB">
        <w:rPr>
          <w:rFonts w:ascii="Arial" w:hAnsi="Arial" w:cs="Arial"/>
        </w:rPr>
        <w:t xml:space="preserve">can help </w:t>
      </w:r>
      <w:r w:rsidR="007A73F4" w:rsidRPr="007A73F4">
        <w:rPr>
          <w:rFonts w:ascii="Arial" w:hAnsi="Arial" w:cs="Arial"/>
        </w:rPr>
        <w:t>projects</w:t>
      </w:r>
      <w:r w:rsidR="007477DB">
        <w:rPr>
          <w:rFonts w:ascii="Arial" w:hAnsi="Arial" w:cs="Arial"/>
        </w:rPr>
        <w:t xml:space="preserve"> at the design stage to</w:t>
      </w:r>
      <w:r w:rsidR="007A73F4" w:rsidRPr="007A73F4">
        <w:rPr>
          <w:rFonts w:ascii="Arial" w:hAnsi="Arial" w:cs="Arial"/>
        </w:rPr>
        <w:t xml:space="preserve"> </w:t>
      </w:r>
      <w:r w:rsidR="007477DB">
        <w:rPr>
          <w:rFonts w:ascii="Arial" w:hAnsi="Arial" w:cs="Arial"/>
        </w:rPr>
        <w:t>identify opportunities to assess the effectiveness of scaling methods.</w:t>
      </w:r>
    </w:p>
    <w:p w14:paraId="7121EEB6" w14:textId="77777777" w:rsidR="007477DB" w:rsidRPr="007A73F4" w:rsidRDefault="007477DB" w:rsidP="007477DB">
      <w:pPr>
        <w:pStyle w:val="Footer"/>
        <w:jc w:val="both"/>
        <w:rPr>
          <w:rFonts w:ascii="Arial" w:hAnsi="Arial" w:cs="Arial"/>
        </w:rPr>
      </w:pPr>
    </w:p>
    <w:p w14:paraId="6884968F" w14:textId="4006250B" w:rsidR="00F018F1" w:rsidRDefault="005D3444" w:rsidP="0061261D">
      <w:pPr>
        <w:pStyle w:val="Footer"/>
        <w:jc w:val="both"/>
        <w:rPr>
          <w:rFonts w:ascii="Arial" w:hAnsi="Arial" w:cs="Arial"/>
        </w:rPr>
      </w:pPr>
      <w:r>
        <w:rPr>
          <w:rFonts w:ascii="Arial" w:hAnsi="Arial" w:cs="Arial"/>
        </w:rPr>
        <w:t xml:space="preserve">Using the framework to map different scaling methods can also identify opportunities for </w:t>
      </w:r>
      <w:r w:rsidR="00675212">
        <w:rPr>
          <w:rFonts w:ascii="Arial" w:hAnsi="Arial" w:cs="Arial"/>
        </w:rPr>
        <w:t xml:space="preserve">learning from other projects. </w:t>
      </w:r>
      <w:r w:rsidR="00ED7CD5" w:rsidRPr="00ED7CD5">
        <w:rPr>
          <w:rFonts w:ascii="Arial" w:hAnsi="Arial" w:cs="Arial"/>
        </w:rPr>
        <w:t xml:space="preserve">Some </w:t>
      </w:r>
      <w:r w:rsidR="005601D8">
        <w:rPr>
          <w:rFonts w:ascii="Arial" w:hAnsi="Arial" w:cs="Arial"/>
        </w:rPr>
        <w:t xml:space="preserve">scaling </w:t>
      </w:r>
      <w:r w:rsidR="00ED7CD5" w:rsidRPr="00ED7CD5">
        <w:rPr>
          <w:rFonts w:ascii="Arial" w:hAnsi="Arial" w:cs="Arial"/>
        </w:rPr>
        <w:t xml:space="preserve">methods </w:t>
      </w:r>
      <w:r w:rsidR="00BD21E9">
        <w:rPr>
          <w:rFonts w:ascii="Arial" w:hAnsi="Arial" w:cs="Arial"/>
        </w:rPr>
        <w:t xml:space="preserve">in Table 2 are </w:t>
      </w:r>
      <w:r w:rsidR="00ED7CD5" w:rsidRPr="00ED7CD5">
        <w:rPr>
          <w:rFonts w:ascii="Arial" w:hAnsi="Arial" w:cs="Arial"/>
        </w:rPr>
        <w:t>novel.</w:t>
      </w:r>
      <w:r w:rsidR="00BD21E9">
        <w:rPr>
          <w:rFonts w:ascii="Arial" w:hAnsi="Arial" w:cs="Arial"/>
        </w:rPr>
        <w:t xml:space="preserve"> </w:t>
      </w:r>
      <w:r w:rsidR="005601D8">
        <w:rPr>
          <w:rFonts w:ascii="Arial" w:hAnsi="Arial" w:cs="Arial"/>
        </w:rPr>
        <w:t xml:space="preserve">Reality TV shows like </w:t>
      </w:r>
      <w:proofErr w:type="spellStart"/>
      <w:r w:rsidR="005601D8">
        <w:rPr>
          <w:rFonts w:ascii="Arial" w:hAnsi="Arial" w:cs="Arial"/>
        </w:rPr>
        <w:t>Shamba</w:t>
      </w:r>
      <w:proofErr w:type="spellEnd"/>
      <w:r w:rsidR="005601D8">
        <w:rPr>
          <w:rFonts w:ascii="Arial" w:hAnsi="Arial" w:cs="Arial"/>
        </w:rPr>
        <w:t xml:space="preserve"> Shape-Up already attract a wide audience across Swahili-speaking East Africa (Clarkson et. al., 2018). </w:t>
      </w:r>
      <w:r w:rsidR="00BD21E9">
        <w:rPr>
          <w:rFonts w:ascii="Arial" w:hAnsi="Arial" w:cs="Arial"/>
        </w:rPr>
        <w:t xml:space="preserve">The AVCD </w:t>
      </w:r>
      <w:r w:rsidR="00694E7E">
        <w:rPr>
          <w:rFonts w:ascii="Arial" w:hAnsi="Arial" w:cs="Arial"/>
        </w:rPr>
        <w:t xml:space="preserve">project </w:t>
      </w:r>
      <w:r w:rsidR="005601D8">
        <w:rPr>
          <w:rFonts w:ascii="Arial" w:hAnsi="Arial" w:cs="Arial"/>
        </w:rPr>
        <w:t xml:space="preserve">developed TV programs with celebrity chefs to showcase </w:t>
      </w:r>
      <w:r w:rsidR="00BD21E9">
        <w:rPr>
          <w:rFonts w:ascii="Arial" w:hAnsi="Arial" w:cs="Arial"/>
        </w:rPr>
        <w:t>the nutritional benefits of sorghum and millets</w:t>
      </w:r>
      <w:r w:rsidR="000735A4">
        <w:rPr>
          <w:rFonts w:ascii="Arial" w:hAnsi="Arial" w:cs="Arial"/>
        </w:rPr>
        <w:t xml:space="preserve"> to viewers in Kenya</w:t>
      </w:r>
      <w:r w:rsidR="00B7678F">
        <w:rPr>
          <w:rFonts w:ascii="Arial" w:hAnsi="Arial" w:cs="Arial"/>
        </w:rPr>
        <w:t xml:space="preserve">. </w:t>
      </w:r>
      <w:r w:rsidR="00CF2FCD">
        <w:rPr>
          <w:rFonts w:ascii="Arial" w:hAnsi="Arial" w:cs="Arial"/>
        </w:rPr>
        <w:t xml:space="preserve">The shows </w:t>
      </w:r>
      <w:r w:rsidR="00CF2FCD">
        <w:rPr>
          <w:rFonts w:ascii="Arial" w:hAnsi="Arial" w:cs="Arial"/>
        </w:rPr>
        <w:lastRenderedPageBreak/>
        <w:t>reached a weekly audience of 800,000 viewers (ICRISAT, 2019</w:t>
      </w:r>
      <w:r w:rsidR="00F02ADC">
        <w:rPr>
          <w:rFonts w:ascii="Arial" w:hAnsi="Arial" w:cs="Arial"/>
        </w:rPr>
        <w:t xml:space="preserve">, p. </w:t>
      </w:r>
      <w:r w:rsidR="00CF2FCD">
        <w:rPr>
          <w:rFonts w:ascii="Arial" w:hAnsi="Arial" w:cs="Arial"/>
        </w:rPr>
        <w:t xml:space="preserve">43). </w:t>
      </w:r>
      <w:r w:rsidR="00B7678F">
        <w:rPr>
          <w:rFonts w:ascii="Arial" w:hAnsi="Arial" w:cs="Arial"/>
        </w:rPr>
        <w:t xml:space="preserve">Other innovative tools included Photovoice, in which </w:t>
      </w:r>
      <w:r w:rsidR="0073762F">
        <w:rPr>
          <w:rFonts w:ascii="Arial" w:hAnsi="Arial" w:cs="Arial"/>
        </w:rPr>
        <w:t xml:space="preserve">village </w:t>
      </w:r>
      <w:r w:rsidR="00B7678F">
        <w:rPr>
          <w:rFonts w:ascii="Arial" w:hAnsi="Arial" w:cs="Arial"/>
        </w:rPr>
        <w:t>women are t</w:t>
      </w:r>
      <w:r w:rsidR="0073762F">
        <w:rPr>
          <w:rFonts w:ascii="Arial" w:hAnsi="Arial" w:cs="Arial"/>
        </w:rPr>
        <w:t xml:space="preserve">aught </w:t>
      </w:r>
      <w:r w:rsidR="00B7678F">
        <w:rPr>
          <w:rFonts w:ascii="Arial" w:hAnsi="Arial" w:cs="Arial"/>
        </w:rPr>
        <w:t>to photograph all the food the</w:t>
      </w:r>
      <w:r w:rsidR="00980E7F">
        <w:rPr>
          <w:rFonts w:ascii="Arial" w:hAnsi="Arial" w:cs="Arial"/>
        </w:rPr>
        <w:t xml:space="preserve"> household </w:t>
      </w:r>
      <w:r w:rsidR="00B7678F">
        <w:rPr>
          <w:rFonts w:ascii="Arial" w:hAnsi="Arial" w:cs="Arial"/>
        </w:rPr>
        <w:t>eat</w:t>
      </w:r>
      <w:r w:rsidR="00980E7F">
        <w:rPr>
          <w:rFonts w:ascii="Arial" w:hAnsi="Arial" w:cs="Arial"/>
        </w:rPr>
        <w:t>s</w:t>
      </w:r>
      <w:r w:rsidR="00B7678F">
        <w:rPr>
          <w:rFonts w:ascii="Arial" w:hAnsi="Arial" w:cs="Arial"/>
        </w:rPr>
        <w:t xml:space="preserve"> over 24 hours, </w:t>
      </w:r>
      <w:r w:rsidR="0073762F">
        <w:rPr>
          <w:rFonts w:ascii="Arial" w:hAnsi="Arial" w:cs="Arial"/>
        </w:rPr>
        <w:t xml:space="preserve">and the results used </w:t>
      </w:r>
      <w:r w:rsidR="00F018F1">
        <w:rPr>
          <w:rFonts w:ascii="Arial" w:hAnsi="Arial" w:cs="Arial"/>
        </w:rPr>
        <w:t xml:space="preserve">for training </w:t>
      </w:r>
      <w:r w:rsidR="0073762F">
        <w:rPr>
          <w:rFonts w:ascii="Arial" w:hAnsi="Arial" w:cs="Arial"/>
        </w:rPr>
        <w:t xml:space="preserve">them </w:t>
      </w:r>
      <w:r w:rsidR="00F018F1">
        <w:rPr>
          <w:rFonts w:ascii="Arial" w:hAnsi="Arial" w:cs="Arial"/>
        </w:rPr>
        <w:t>in improved nutrition (ICRISAT, 2018).</w:t>
      </w:r>
      <w:r w:rsidR="00980E7F">
        <w:rPr>
          <w:rFonts w:ascii="Arial" w:hAnsi="Arial" w:cs="Arial"/>
        </w:rPr>
        <w:t xml:space="preserve"> </w:t>
      </w:r>
      <w:r w:rsidR="00B65C93">
        <w:rPr>
          <w:rFonts w:ascii="Arial" w:hAnsi="Arial" w:cs="Arial"/>
        </w:rPr>
        <w:t>These methods have a wide range of applications.</w:t>
      </w:r>
    </w:p>
    <w:p w14:paraId="3904EE38" w14:textId="77777777" w:rsidR="00F018F1" w:rsidRDefault="00F018F1" w:rsidP="0061261D">
      <w:pPr>
        <w:pStyle w:val="Footer"/>
        <w:jc w:val="both"/>
        <w:rPr>
          <w:rFonts w:ascii="Arial" w:hAnsi="Arial" w:cs="Arial"/>
        </w:rPr>
      </w:pPr>
    </w:p>
    <w:p w14:paraId="0A0F06D8" w14:textId="77777777" w:rsidR="001E206E" w:rsidRDefault="001E206E" w:rsidP="00EB74D9">
      <w:pPr>
        <w:pStyle w:val="Footer"/>
        <w:jc w:val="both"/>
        <w:rPr>
          <w:rFonts w:ascii="Arial" w:hAnsi="Arial" w:cs="Arial"/>
        </w:rPr>
      </w:pPr>
    </w:p>
    <w:p w14:paraId="1E0D747C" w14:textId="670441E2" w:rsidR="0050185B" w:rsidRPr="00007080" w:rsidRDefault="00007080" w:rsidP="00007080">
      <w:pPr>
        <w:pStyle w:val="Footer"/>
        <w:numPr>
          <w:ilvl w:val="0"/>
          <w:numId w:val="1"/>
        </w:numPr>
        <w:jc w:val="center"/>
        <w:rPr>
          <w:rFonts w:ascii="Arial" w:hAnsi="Arial" w:cs="Arial"/>
          <w:b/>
          <w:bCs/>
        </w:rPr>
      </w:pPr>
      <w:r>
        <w:rPr>
          <w:rFonts w:ascii="Arial" w:hAnsi="Arial" w:cs="Arial"/>
          <w:b/>
          <w:bCs/>
        </w:rPr>
        <w:t xml:space="preserve">The </w:t>
      </w:r>
      <w:r w:rsidRPr="00007080">
        <w:rPr>
          <w:rFonts w:ascii="Arial" w:hAnsi="Arial" w:cs="Arial"/>
          <w:b/>
          <w:bCs/>
        </w:rPr>
        <w:t>Scaling Framework and Project Performance</w:t>
      </w:r>
    </w:p>
    <w:p w14:paraId="364B0D99" w14:textId="77777777" w:rsidR="00F17B90" w:rsidRDefault="00F17B90" w:rsidP="00EB74D9">
      <w:pPr>
        <w:pStyle w:val="Footer"/>
        <w:jc w:val="both"/>
        <w:rPr>
          <w:rFonts w:ascii="Arial" w:hAnsi="Arial" w:cs="Arial"/>
        </w:rPr>
      </w:pPr>
    </w:p>
    <w:p w14:paraId="1B73BFB9" w14:textId="3EB7F71C" w:rsidR="00812B61" w:rsidRDefault="004D11C8" w:rsidP="00EB74D9">
      <w:pPr>
        <w:pStyle w:val="Footer"/>
        <w:jc w:val="both"/>
        <w:rPr>
          <w:rFonts w:ascii="Arial" w:hAnsi="Arial" w:cs="Arial"/>
        </w:rPr>
      </w:pPr>
      <w:r>
        <w:rPr>
          <w:rFonts w:ascii="Arial" w:hAnsi="Arial" w:cs="Arial"/>
        </w:rPr>
        <w:t xml:space="preserve">The scaling framework can </w:t>
      </w:r>
      <w:r w:rsidR="009F4424">
        <w:rPr>
          <w:rFonts w:ascii="Arial" w:hAnsi="Arial" w:cs="Arial"/>
        </w:rPr>
        <w:t xml:space="preserve">also </w:t>
      </w:r>
      <w:r>
        <w:rPr>
          <w:rFonts w:ascii="Arial" w:hAnsi="Arial" w:cs="Arial"/>
        </w:rPr>
        <w:t>be applied retrospectively</w:t>
      </w:r>
      <w:r w:rsidR="00E44285">
        <w:rPr>
          <w:rFonts w:ascii="Arial" w:hAnsi="Arial" w:cs="Arial"/>
        </w:rPr>
        <w:t xml:space="preserve"> to </w:t>
      </w:r>
      <w:r>
        <w:rPr>
          <w:rFonts w:ascii="Arial" w:hAnsi="Arial" w:cs="Arial"/>
        </w:rPr>
        <w:t xml:space="preserve">explain project performance. However, this </w:t>
      </w:r>
      <w:r w:rsidR="00125DA6">
        <w:rPr>
          <w:rFonts w:ascii="Arial" w:hAnsi="Arial" w:cs="Arial"/>
        </w:rPr>
        <w:t xml:space="preserve">is </w:t>
      </w:r>
      <w:r w:rsidR="009E19CF">
        <w:rPr>
          <w:rFonts w:ascii="Arial" w:hAnsi="Arial" w:cs="Arial"/>
        </w:rPr>
        <w:t>trickier</w:t>
      </w:r>
      <w:r w:rsidR="009F4424">
        <w:rPr>
          <w:rFonts w:ascii="Arial" w:hAnsi="Arial" w:cs="Arial"/>
        </w:rPr>
        <w:t xml:space="preserve">. Scaling projects may fail because of poor design: </w:t>
      </w:r>
      <w:r w:rsidR="00812B61">
        <w:rPr>
          <w:rFonts w:ascii="Arial" w:hAnsi="Arial" w:cs="Arial"/>
        </w:rPr>
        <w:t xml:space="preserve">a key component of the scaling framework was missing. </w:t>
      </w:r>
      <w:r w:rsidR="009F4424">
        <w:rPr>
          <w:rFonts w:ascii="Arial" w:hAnsi="Arial" w:cs="Arial"/>
        </w:rPr>
        <w:t xml:space="preserve">But they may also fail because the design was not properly implemented or because of </w:t>
      </w:r>
      <w:r w:rsidR="00846C4B">
        <w:rPr>
          <w:rFonts w:ascii="Arial" w:hAnsi="Arial" w:cs="Arial"/>
        </w:rPr>
        <w:t>events that could not be anticipated at the design stage (</w:t>
      </w:r>
      <w:r w:rsidR="00582DEF">
        <w:rPr>
          <w:rFonts w:ascii="Arial" w:hAnsi="Arial" w:cs="Arial"/>
        </w:rPr>
        <w:t>for example,</w:t>
      </w:r>
      <w:r w:rsidR="00846C4B">
        <w:rPr>
          <w:rFonts w:ascii="Arial" w:hAnsi="Arial" w:cs="Arial"/>
        </w:rPr>
        <w:t xml:space="preserve"> a sudden </w:t>
      </w:r>
      <w:r w:rsidR="00582DEF">
        <w:rPr>
          <w:rFonts w:ascii="Arial" w:hAnsi="Arial" w:cs="Arial"/>
        </w:rPr>
        <w:t xml:space="preserve">reversal in </w:t>
      </w:r>
      <w:r w:rsidR="0083292E">
        <w:rPr>
          <w:rFonts w:ascii="Arial" w:hAnsi="Arial" w:cs="Arial"/>
        </w:rPr>
        <w:t xml:space="preserve">government </w:t>
      </w:r>
      <w:r w:rsidR="00846C4B">
        <w:rPr>
          <w:rFonts w:ascii="Arial" w:hAnsi="Arial" w:cs="Arial"/>
        </w:rPr>
        <w:t>policy).</w:t>
      </w:r>
      <w:r w:rsidR="00582DEF">
        <w:rPr>
          <w:rFonts w:ascii="Arial" w:hAnsi="Arial" w:cs="Arial"/>
        </w:rPr>
        <w:t xml:space="preserve"> These confounding factors limit the value of the </w:t>
      </w:r>
      <w:r w:rsidR="009F4424">
        <w:rPr>
          <w:rFonts w:ascii="Arial" w:hAnsi="Arial" w:cs="Arial"/>
        </w:rPr>
        <w:t xml:space="preserve">scaling </w:t>
      </w:r>
      <w:r w:rsidR="00582DEF">
        <w:rPr>
          <w:rFonts w:ascii="Arial" w:hAnsi="Arial" w:cs="Arial"/>
        </w:rPr>
        <w:t>framework as a</w:t>
      </w:r>
      <w:r w:rsidR="009F4424">
        <w:rPr>
          <w:rFonts w:ascii="Arial" w:hAnsi="Arial" w:cs="Arial"/>
        </w:rPr>
        <w:t xml:space="preserve"> </w:t>
      </w:r>
      <w:r w:rsidR="00582DEF">
        <w:rPr>
          <w:rFonts w:ascii="Arial" w:hAnsi="Arial" w:cs="Arial"/>
        </w:rPr>
        <w:t xml:space="preserve">rear-view mirror </w:t>
      </w:r>
      <w:r w:rsidR="00DB4937">
        <w:rPr>
          <w:rFonts w:ascii="Arial" w:hAnsi="Arial" w:cs="Arial"/>
        </w:rPr>
        <w:t xml:space="preserve">to </w:t>
      </w:r>
      <w:r w:rsidR="00582DEF">
        <w:rPr>
          <w:rFonts w:ascii="Arial" w:hAnsi="Arial" w:cs="Arial"/>
        </w:rPr>
        <w:t xml:space="preserve">explain why </w:t>
      </w:r>
      <w:r w:rsidR="00812B61">
        <w:rPr>
          <w:rFonts w:ascii="Arial" w:hAnsi="Arial" w:cs="Arial"/>
        </w:rPr>
        <w:t xml:space="preserve">some </w:t>
      </w:r>
      <w:r w:rsidR="00582DEF">
        <w:rPr>
          <w:rFonts w:ascii="Arial" w:hAnsi="Arial" w:cs="Arial"/>
        </w:rPr>
        <w:t xml:space="preserve">projects </w:t>
      </w:r>
      <w:r w:rsidR="00812B61">
        <w:rPr>
          <w:rFonts w:ascii="Arial" w:hAnsi="Arial" w:cs="Arial"/>
        </w:rPr>
        <w:t>succeeded while others failed.</w:t>
      </w:r>
    </w:p>
    <w:p w14:paraId="38E8226F" w14:textId="428EE75C" w:rsidR="00582DEF" w:rsidRDefault="00582DEF" w:rsidP="00EB74D9">
      <w:pPr>
        <w:pStyle w:val="Footer"/>
        <w:jc w:val="both"/>
        <w:rPr>
          <w:rFonts w:ascii="Arial" w:hAnsi="Arial" w:cs="Arial"/>
        </w:rPr>
      </w:pPr>
    </w:p>
    <w:p w14:paraId="57D659CB" w14:textId="1E000DF5" w:rsidR="00C75B14" w:rsidRDefault="00812B61" w:rsidP="00EB74D9">
      <w:pPr>
        <w:pStyle w:val="Footer"/>
        <w:jc w:val="both"/>
        <w:rPr>
          <w:rFonts w:ascii="Arial" w:hAnsi="Arial" w:cs="Arial"/>
          <w:color w:val="FF0000"/>
        </w:rPr>
      </w:pPr>
      <w:r>
        <w:rPr>
          <w:rFonts w:ascii="Arial" w:hAnsi="Arial" w:cs="Arial"/>
        </w:rPr>
        <w:t xml:space="preserve">Success is usually measured against the original targets set out in the project design. </w:t>
      </w:r>
      <w:r w:rsidR="001344A7">
        <w:rPr>
          <w:rFonts w:ascii="Arial" w:hAnsi="Arial" w:cs="Arial"/>
        </w:rPr>
        <w:t>Over three phases lasting 12 years (2007-2019) the TL III project delivered 500,000 t of certified seeds (</w:t>
      </w:r>
      <w:proofErr w:type="spellStart"/>
      <w:r w:rsidR="001344A7">
        <w:rPr>
          <w:rFonts w:ascii="Arial" w:hAnsi="Arial" w:cs="Arial"/>
        </w:rPr>
        <w:t>Varshey</w:t>
      </w:r>
      <w:proofErr w:type="spellEnd"/>
      <w:r w:rsidR="001344A7">
        <w:rPr>
          <w:rFonts w:ascii="Arial" w:hAnsi="Arial" w:cs="Arial"/>
        </w:rPr>
        <w:t>, 2019).</w:t>
      </w:r>
      <w:r w:rsidR="00825E46">
        <w:rPr>
          <w:rFonts w:ascii="Arial" w:hAnsi="Arial" w:cs="Arial"/>
        </w:rPr>
        <w:t xml:space="preserve"> </w:t>
      </w:r>
      <w:r w:rsidR="00A87880">
        <w:rPr>
          <w:rFonts w:ascii="Arial" w:hAnsi="Arial" w:cs="Arial"/>
        </w:rPr>
        <w:t xml:space="preserve">However, because </w:t>
      </w:r>
      <w:r w:rsidR="006B0659">
        <w:rPr>
          <w:rFonts w:ascii="Arial" w:hAnsi="Arial" w:cs="Arial"/>
        </w:rPr>
        <w:t xml:space="preserve">of rapid growth in </w:t>
      </w:r>
      <w:r w:rsidR="00A87880">
        <w:rPr>
          <w:rFonts w:ascii="Arial" w:hAnsi="Arial" w:cs="Arial"/>
        </w:rPr>
        <w:t>the area planted to legumes</w:t>
      </w:r>
      <w:r w:rsidR="006B0659">
        <w:rPr>
          <w:rFonts w:ascii="Arial" w:hAnsi="Arial" w:cs="Arial"/>
        </w:rPr>
        <w:t xml:space="preserve">, the </w:t>
      </w:r>
      <w:r w:rsidR="00790738">
        <w:rPr>
          <w:rFonts w:ascii="Arial" w:hAnsi="Arial" w:cs="Arial"/>
        </w:rPr>
        <w:t xml:space="preserve">original </w:t>
      </w:r>
      <w:r w:rsidR="00A87880">
        <w:rPr>
          <w:rFonts w:ascii="Arial" w:hAnsi="Arial" w:cs="Arial"/>
        </w:rPr>
        <w:t xml:space="preserve">target of meeting 20% of seed requirements was not met (C. Ojiewo, pers. comm.). </w:t>
      </w:r>
      <w:r w:rsidR="006B0659">
        <w:rPr>
          <w:rFonts w:ascii="Arial" w:hAnsi="Arial" w:cs="Arial"/>
        </w:rPr>
        <w:t>N</w:t>
      </w:r>
      <w:r w:rsidR="00BC4E22">
        <w:rPr>
          <w:rFonts w:ascii="Arial" w:hAnsi="Arial" w:cs="Arial"/>
        </w:rPr>
        <w:t xml:space="preserve">o final figures </w:t>
      </w:r>
      <w:r w:rsidR="006B0659">
        <w:rPr>
          <w:rFonts w:ascii="Arial" w:hAnsi="Arial" w:cs="Arial"/>
        </w:rPr>
        <w:t xml:space="preserve">were </w:t>
      </w:r>
      <w:r w:rsidR="00BC4E22">
        <w:rPr>
          <w:rFonts w:ascii="Arial" w:hAnsi="Arial" w:cs="Arial"/>
        </w:rPr>
        <w:t>available</w:t>
      </w:r>
      <w:r w:rsidR="006B0659">
        <w:rPr>
          <w:rFonts w:ascii="Arial" w:hAnsi="Arial" w:cs="Arial"/>
        </w:rPr>
        <w:t xml:space="preserve"> for HOPE phase 2, which ends in 2020. </w:t>
      </w:r>
      <w:r w:rsidR="00167F00">
        <w:rPr>
          <w:rFonts w:ascii="Arial" w:hAnsi="Arial" w:cs="Arial"/>
        </w:rPr>
        <w:t xml:space="preserve">The AVCD project exceeded its target to increase incremental sales by 17 % (USAID, 2018). </w:t>
      </w:r>
      <w:r w:rsidR="00C75B14" w:rsidRPr="00C75B14">
        <w:rPr>
          <w:rFonts w:ascii="Arial" w:hAnsi="Arial" w:cs="Arial"/>
        </w:rPr>
        <w:t>T</w:t>
      </w:r>
      <w:r w:rsidR="00167F00" w:rsidRPr="00C75B14">
        <w:rPr>
          <w:rFonts w:ascii="Arial" w:hAnsi="Arial" w:cs="Arial"/>
        </w:rPr>
        <w:t xml:space="preserve">he MISST project </w:t>
      </w:r>
      <w:r w:rsidR="00C75B14" w:rsidRPr="00C75B14">
        <w:rPr>
          <w:rFonts w:ascii="Arial" w:hAnsi="Arial" w:cs="Arial"/>
        </w:rPr>
        <w:t>met about 80 % of its production targets for early generation and certified seed (FTF-Malawi, 2019).</w:t>
      </w:r>
      <w:r w:rsidR="00C75B14">
        <w:rPr>
          <w:rFonts w:ascii="Arial" w:hAnsi="Arial" w:cs="Arial"/>
        </w:rPr>
        <w:t xml:space="preserve"> In general, these projects were successful in meeting their targets for seed production.</w:t>
      </w:r>
    </w:p>
    <w:p w14:paraId="771C78EE" w14:textId="77777777" w:rsidR="005A4960" w:rsidRDefault="005A4960" w:rsidP="000D1EE9">
      <w:pPr>
        <w:pStyle w:val="Footer"/>
        <w:jc w:val="both"/>
        <w:rPr>
          <w:rFonts w:ascii="Arial" w:hAnsi="Arial" w:cs="Arial"/>
        </w:rPr>
      </w:pPr>
    </w:p>
    <w:p w14:paraId="477013E8" w14:textId="42FD3434" w:rsidR="002E6FFF" w:rsidRDefault="00C75B14" w:rsidP="00EB74D9">
      <w:pPr>
        <w:pStyle w:val="Footer"/>
        <w:jc w:val="both"/>
        <w:rPr>
          <w:rFonts w:ascii="Arial" w:hAnsi="Arial" w:cs="Arial"/>
        </w:rPr>
      </w:pPr>
      <w:r>
        <w:rPr>
          <w:rFonts w:ascii="Arial" w:hAnsi="Arial" w:cs="Arial"/>
        </w:rPr>
        <w:t xml:space="preserve">Performance </w:t>
      </w:r>
      <w:r w:rsidR="00A006FD">
        <w:rPr>
          <w:rFonts w:ascii="Arial" w:hAnsi="Arial" w:cs="Arial"/>
        </w:rPr>
        <w:t xml:space="preserve">did not </w:t>
      </w:r>
      <w:r>
        <w:rPr>
          <w:rFonts w:ascii="Arial" w:hAnsi="Arial" w:cs="Arial"/>
        </w:rPr>
        <w:t xml:space="preserve">therefore </w:t>
      </w:r>
      <w:r w:rsidR="00A006FD">
        <w:rPr>
          <w:rFonts w:ascii="Arial" w:hAnsi="Arial" w:cs="Arial"/>
        </w:rPr>
        <w:t xml:space="preserve">reveal major design flaws. However, implementation did reveal weaknesses in some assumptions. </w:t>
      </w:r>
      <w:r w:rsidR="00AB4128">
        <w:rPr>
          <w:rFonts w:ascii="Arial" w:hAnsi="Arial" w:cs="Arial"/>
        </w:rPr>
        <w:t xml:space="preserve">The scaling framework includes a component on </w:t>
      </w:r>
      <w:r w:rsidR="00AB4128" w:rsidRPr="00CC692F">
        <w:rPr>
          <w:rFonts w:ascii="Arial" w:hAnsi="Arial" w:cs="Arial"/>
          <w:b/>
          <w:bCs/>
        </w:rPr>
        <w:t>VC Actor Coordination</w:t>
      </w:r>
      <w:r w:rsidR="00AB4128">
        <w:rPr>
          <w:rFonts w:ascii="Arial" w:hAnsi="Arial" w:cs="Arial"/>
        </w:rPr>
        <w:t xml:space="preserve">, defined as a “holistic approach with multi-stakeholder planning and trouble-shooting” (Figure 1). </w:t>
      </w:r>
      <w:r w:rsidR="005A4960">
        <w:rPr>
          <w:rFonts w:ascii="Arial" w:hAnsi="Arial" w:cs="Arial"/>
        </w:rPr>
        <w:t>A</w:t>
      </w:r>
      <w:r w:rsidR="000D1EE9">
        <w:rPr>
          <w:rFonts w:ascii="Arial" w:hAnsi="Arial" w:cs="Arial"/>
        </w:rPr>
        <w:t xml:space="preserve">lthough </w:t>
      </w:r>
      <w:r w:rsidR="00AB4128">
        <w:rPr>
          <w:rFonts w:ascii="Arial" w:hAnsi="Arial" w:cs="Arial"/>
        </w:rPr>
        <w:t xml:space="preserve">this component was not missing from the </w:t>
      </w:r>
      <w:r w:rsidR="000D1EE9">
        <w:rPr>
          <w:rFonts w:ascii="Arial" w:hAnsi="Arial" w:cs="Arial"/>
        </w:rPr>
        <w:t xml:space="preserve">TL III project, </w:t>
      </w:r>
      <w:r w:rsidR="00AB4128">
        <w:rPr>
          <w:rFonts w:ascii="Arial" w:hAnsi="Arial" w:cs="Arial"/>
        </w:rPr>
        <w:t xml:space="preserve">it proved difficult </w:t>
      </w:r>
      <w:proofErr w:type="spellStart"/>
      <w:r w:rsidR="00AB4128">
        <w:rPr>
          <w:rFonts w:ascii="Arial" w:hAnsi="Arial" w:cs="Arial"/>
        </w:rPr>
        <w:t>ti</w:t>
      </w:r>
      <w:proofErr w:type="spellEnd"/>
      <w:r w:rsidR="00AB4128">
        <w:rPr>
          <w:rFonts w:ascii="Arial" w:hAnsi="Arial" w:cs="Arial"/>
        </w:rPr>
        <w:t xml:space="preserve"> implement. The project used a </w:t>
      </w:r>
      <w:r w:rsidR="00CC692F">
        <w:rPr>
          <w:rFonts w:ascii="Arial" w:hAnsi="Arial" w:cs="Arial"/>
        </w:rPr>
        <w:t xml:space="preserve">public-private partnership model </w:t>
      </w:r>
      <w:r w:rsidR="00DB4937">
        <w:rPr>
          <w:rFonts w:ascii="Arial" w:hAnsi="Arial" w:cs="Arial"/>
        </w:rPr>
        <w:t>of seed delivery</w:t>
      </w:r>
      <w:r w:rsidR="00AB4128">
        <w:rPr>
          <w:rFonts w:ascii="Arial" w:hAnsi="Arial" w:cs="Arial"/>
        </w:rPr>
        <w:t xml:space="preserve"> in which national br</w:t>
      </w:r>
      <w:r w:rsidR="00DB4937">
        <w:rPr>
          <w:rFonts w:ascii="Arial" w:hAnsi="Arial" w:cs="Arial"/>
        </w:rPr>
        <w:t xml:space="preserve">eeding </w:t>
      </w:r>
      <w:r w:rsidR="00CC692F">
        <w:rPr>
          <w:rFonts w:ascii="Arial" w:hAnsi="Arial" w:cs="Arial"/>
        </w:rPr>
        <w:t xml:space="preserve">programs and statutory bodies </w:t>
      </w:r>
      <w:r w:rsidR="00DB4937">
        <w:rPr>
          <w:rFonts w:ascii="Arial" w:hAnsi="Arial" w:cs="Arial"/>
        </w:rPr>
        <w:t xml:space="preserve">produced </w:t>
      </w:r>
      <w:r w:rsidR="00CC692F">
        <w:rPr>
          <w:rFonts w:ascii="Arial" w:hAnsi="Arial" w:cs="Arial"/>
        </w:rPr>
        <w:t>foundation seed</w:t>
      </w:r>
      <w:r w:rsidR="00AB4128">
        <w:rPr>
          <w:rFonts w:ascii="Arial" w:hAnsi="Arial" w:cs="Arial"/>
        </w:rPr>
        <w:t xml:space="preserve"> for private </w:t>
      </w:r>
      <w:r w:rsidR="00DB4937">
        <w:rPr>
          <w:rFonts w:ascii="Arial" w:hAnsi="Arial" w:cs="Arial"/>
        </w:rPr>
        <w:t>seed companies and farmer groups</w:t>
      </w:r>
      <w:r w:rsidR="00AB4128">
        <w:rPr>
          <w:rFonts w:ascii="Arial" w:hAnsi="Arial" w:cs="Arial"/>
        </w:rPr>
        <w:t>.</w:t>
      </w:r>
      <w:r w:rsidR="00CC692F">
        <w:rPr>
          <w:rFonts w:ascii="Arial" w:hAnsi="Arial" w:cs="Arial"/>
        </w:rPr>
        <w:t xml:space="preserve"> The initial funding for foundation seed came from project funds but, to make production sustainable, the income from the sale of </w:t>
      </w:r>
      <w:r w:rsidR="003755D7">
        <w:rPr>
          <w:rFonts w:ascii="Arial" w:hAnsi="Arial" w:cs="Arial"/>
        </w:rPr>
        <w:t xml:space="preserve">foundation seed was </w:t>
      </w:r>
      <w:r w:rsidR="00AB4128">
        <w:rPr>
          <w:rFonts w:ascii="Arial" w:hAnsi="Arial" w:cs="Arial"/>
        </w:rPr>
        <w:t xml:space="preserve">supposed </w:t>
      </w:r>
      <w:r w:rsidR="00DB4937">
        <w:rPr>
          <w:rFonts w:ascii="Arial" w:hAnsi="Arial" w:cs="Arial"/>
        </w:rPr>
        <w:t>to be re-</w:t>
      </w:r>
      <w:r w:rsidR="003755D7">
        <w:rPr>
          <w:rFonts w:ascii="Arial" w:hAnsi="Arial" w:cs="Arial"/>
        </w:rPr>
        <w:t xml:space="preserve">invested in a revolving fund that financed production in </w:t>
      </w:r>
      <w:r w:rsidR="00DB4937">
        <w:rPr>
          <w:rFonts w:ascii="Arial" w:hAnsi="Arial" w:cs="Arial"/>
        </w:rPr>
        <w:t xml:space="preserve">subsequent </w:t>
      </w:r>
      <w:r w:rsidR="003755D7">
        <w:rPr>
          <w:rFonts w:ascii="Arial" w:hAnsi="Arial" w:cs="Arial"/>
        </w:rPr>
        <w:t>years. In practice, the income went into a government account in the central bank and was used for other purposes, so the fund failed to revolve</w:t>
      </w:r>
      <w:r w:rsidR="00AB4128">
        <w:rPr>
          <w:rFonts w:ascii="Arial" w:hAnsi="Arial" w:cs="Arial"/>
        </w:rPr>
        <w:t xml:space="preserve"> (Chris Ojiewo, pers. comm.)</w:t>
      </w:r>
      <w:r w:rsidR="003755D7">
        <w:rPr>
          <w:rFonts w:ascii="Arial" w:hAnsi="Arial" w:cs="Arial"/>
        </w:rPr>
        <w:t>.</w:t>
      </w:r>
      <w:r w:rsidR="00AB4128">
        <w:rPr>
          <w:rFonts w:ascii="Arial" w:hAnsi="Arial" w:cs="Arial"/>
        </w:rPr>
        <w:t xml:space="preserve"> This was outside the project’s control.</w:t>
      </w:r>
      <w:r w:rsidR="003755D7">
        <w:rPr>
          <w:rFonts w:ascii="Arial" w:hAnsi="Arial" w:cs="Arial"/>
        </w:rPr>
        <w:t xml:space="preserve"> </w:t>
      </w:r>
    </w:p>
    <w:p w14:paraId="0D7BF796" w14:textId="77777777" w:rsidR="002E6FFF" w:rsidRDefault="002E6FFF" w:rsidP="00EB74D9">
      <w:pPr>
        <w:pStyle w:val="Footer"/>
        <w:jc w:val="both"/>
        <w:rPr>
          <w:rFonts w:ascii="Arial" w:hAnsi="Arial" w:cs="Arial"/>
        </w:rPr>
      </w:pPr>
    </w:p>
    <w:p w14:paraId="038C0E1B" w14:textId="046D5EA6" w:rsidR="009E57F0" w:rsidRDefault="003755D7" w:rsidP="00CD0B36">
      <w:pPr>
        <w:pStyle w:val="Footer"/>
        <w:jc w:val="both"/>
        <w:rPr>
          <w:rFonts w:ascii="Arial" w:hAnsi="Arial" w:cs="Arial"/>
        </w:rPr>
      </w:pPr>
      <w:r>
        <w:rPr>
          <w:rFonts w:ascii="Arial" w:hAnsi="Arial" w:cs="Arial"/>
        </w:rPr>
        <w:t xml:space="preserve">Similarly, the project design envisaged production and delivery of certified seed through private seed companies, which were start-ups </w:t>
      </w:r>
      <w:r w:rsidR="00AB4128">
        <w:rPr>
          <w:rFonts w:ascii="Arial" w:hAnsi="Arial" w:cs="Arial"/>
        </w:rPr>
        <w:t xml:space="preserve">funded by </w:t>
      </w:r>
      <w:r>
        <w:rPr>
          <w:rFonts w:ascii="Arial" w:hAnsi="Arial" w:cs="Arial"/>
        </w:rPr>
        <w:t>grants from the Program for Africa’s Seed Systems (PASS) project</w:t>
      </w:r>
      <w:r w:rsidR="006D6446">
        <w:rPr>
          <w:rFonts w:ascii="Arial" w:hAnsi="Arial" w:cs="Arial"/>
        </w:rPr>
        <w:t xml:space="preserve"> (</w:t>
      </w:r>
      <w:r w:rsidR="00F02ADC">
        <w:rPr>
          <w:rFonts w:ascii="Arial" w:hAnsi="Arial" w:cs="Arial"/>
        </w:rPr>
        <w:t xml:space="preserve">ICRISAT, 2013, p. </w:t>
      </w:r>
      <w:r w:rsidR="006D6446">
        <w:rPr>
          <w:rFonts w:ascii="Arial" w:hAnsi="Arial" w:cs="Arial"/>
        </w:rPr>
        <w:t>15)</w:t>
      </w:r>
      <w:r>
        <w:rPr>
          <w:rFonts w:ascii="Arial" w:hAnsi="Arial" w:cs="Arial"/>
        </w:rPr>
        <w:t>. However, these start-ups proved unable or unwilling to become fully-fledged seed companies</w:t>
      </w:r>
      <w:r w:rsidR="002B66D4">
        <w:rPr>
          <w:rFonts w:ascii="Arial" w:hAnsi="Arial" w:cs="Arial"/>
        </w:rPr>
        <w:t xml:space="preserve">. They complained of unfair competition from national breeding programs, some of which set up their own companies to produce certified seed. They also faced regulatory hurdles. In theory, </w:t>
      </w:r>
      <w:r w:rsidR="005E4F65">
        <w:rPr>
          <w:rFonts w:ascii="Arial" w:hAnsi="Arial" w:cs="Arial"/>
        </w:rPr>
        <w:t xml:space="preserve">seed regulations have been harmonised to allow the free movement of registered varieties and certified seed </w:t>
      </w:r>
      <w:r w:rsidR="00AB4128">
        <w:rPr>
          <w:rFonts w:ascii="Arial" w:hAnsi="Arial" w:cs="Arial"/>
        </w:rPr>
        <w:t xml:space="preserve">within African regions </w:t>
      </w:r>
      <w:r w:rsidR="007D06E2">
        <w:rPr>
          <w:rFonts w:ascii="Arial" w:hAnsi="Arial" w:cs="Arial"/>
        </w:rPr>
        <w:t>(Rohrbach et. al., 2003).</w:t>
      </w:r>
      <w:r w:rsidR="005E4F65">
        <w:rPr>
          <w:rFonts w:ascii="Arial" w:hAnsi="Arial" w:cs="Arial"/>
        </w:rPr>
        <w:t xml:space="preserve"> In practice, </w:t>
      </w:r>
      <w:r w:rsidR="006B52B5">
        <w:rPr>
          <w:rFonts w:ascii="Arial" w:hAnsi="Arial" w:cs="Arial"/>
        </w:rPr>
        <w:t xml:space="preserve">this is </w:t>
      </w:r>
      <w:r w:rsidR="005E4F65">
        <w:rPr>
          <w:rFonts w:ascii="Arial" w:hAnsi="Arial" w:cs="Arial"/>
        </w:rPr>
        <w:t xml:space="preserve">frustrating and time-consuming for small seed companies. Private companies </w:t>
      </w:r>
      <w:r w:rsidR="00AB4128">
        <w:rPr>
          <w:rFonts w:ascii="Arial" w:hAnsi="Arial" w:cs="Arial"/>
        </w:rPr>
        <w:t xml:space="preserve">also </w:t>
      </w:r>
      <w:r w:rsidR="005E4F65">
        <w:rPr>
          <w:rFonts w:ascii="Arial" w:hAnsi="Arial" w:cs="Arial"/>
        </w:rPr>
        <w:t xml:space="preserve">want proprietary branding of the products they sell, but because improved varieties are public goods this requires licensing agreements and royalty payments to </w:t>
      </w:r>
      <w:r w:rsidR="00CD0B36">
        <w:rPr>
          <w:rFonts w:ascii="Arial" w:hAnsi="Arial" w:cs="Arial"/>
        </w:rPr>
        <w:t>national breeding programs</w:t>
      </w:r>
      <w:r w:rsidR="005E4F65">
        <w:rPr>
          <w:rFonts w:ascii="Arial" w:hAnsi="Arial" w:cs="Arial"/>
        </w:rPr>
        <w:t>.</w:t>
      </w:r>
      <w:r w:rsidR="00CD0B36">
        <w:rPr>
          <w:rFonts w:ascii="Arial" w:hAnsi="Arial" w:cs="Arial"/>
        </w:rPr>
        <w:t xml:space="preserve"> </w:t>
      </w:r>
      <w:r w:rsidR="00092E64">
        <w:rPr>
          <w:rFonts w:ascii="Arial" w:hAnsi="Arial" w:cs="Arial"/>
        </w:rPr>
        <w:t>Small</w:t>
      </w:r>
      <w:r w:rsidR="00AB4128">
        <w:rPr>
          <w:rFonts w:ascii="Arial" w:hAnsi="Arial" w:cs="Arial"/>
        </w:rPr>
        <w:t xml:space="preserve"> </w:t>
      </w:r>
      <w:r w:rsidR="00092E64">
        <w:rPr>
          <w:rFonts w:ascii="Arial" w:hAnsi="Arial" w:cs="Arial"/>
        </w:rPr>
        <w:t xml:space="preserve">seed companies have needed specialist help </w:t>
      </w:r>
      <w:r w:rsidR="00AB4128">
        <w:rPr>
          <w:rFonts w:ascii="Arial" w:hAnsi="Arial" w:cs="Arial"/>
        </w:rPr>
        <w:t xml:space="preserve">from </w:t>
      </w:r>
      <w:r w:rsidR="006B52B5">
        <w:rPr>
          <w:rFonts w:ascii="Arial" w:hAnsi="Arial" w:cs="Arial"/>
        </w:rPr>
        <w:t>Syngenta’s</w:t>
      </w:r>
      <w:r w:rsidR="00AB4128">
        <w:rPr>
          <w:rFonts w:ascii="Arial" w:hAnsi="Arial" w:cs="Arial"/>
        </w:rPr>
        <w:t xml:space="preserve"> Seeds2B platform </w:t>
      </w:r>
      <w:r w:rsidR="00092E64">
        <w:rPr>
          <w:rFonts w:ascii="Arial" w:hAnsi="Arial" w:cs="Arial"/>
        </w:rPr>
        <w:t>to navigate these bureaucratic hurdles (Syngenta Foundation, 2019).</w:t>
      </w:r>
      <w:r w:rsidR="008F5E9D">
        <w:rPr>
          <w:rFonts w:ascii="Arial" w:hAnsi="Arial" w:cs="Arial"/>
        </w:rPr>
        <w:t xml:space="preserve"> Finally, </w:t>
      </w:r>
      <w:r w:rsidR="006555E4">
        <w:rPr>
          <w:rFonts w:ascii="Arial" w:hAnsi="Arial" w:cs="Arial"/>
        </w:rPr>
        <w:t xml:space="preserve">the expectation of further grants made some companies reluctant to invest their own resources. </w:t>
      </w:r>
      <w:r w:rsidR="00CD0B36">
        <w:rPr>
          <w:rFonts w:ascii="Arial" w:hAnsi="Arial" w:cs="Arial"/>
        </w:rPr>
        <w:t xml:space="preserve">As a result, most of the certified seed in the TL III project has been produced and delivered not by private seed companies but by the informal sector (C. Ojiewo, pers. comm.). </w:t>
      </w:r>
      <w:r w:rsidR="009E57F0">
        <w:rPr>
          <w:rFonts w:ascii="Arial" w:hAnsi="Arial" w:cs="Arial"/>
        </w:rPr>
        <w:t xml:space="preserve">Tanzania saw a dramatic increase, from </w:t>
      </w:r>
      <w:r w:rsidR="00ED6E42">
        <w:rPr>
          <w:rFonts w:ascii="Arial" w:hAnsi="Arial" w:cs="Arial"/>
        </w:rPr>
        <w:t xml:space="preserve">just </w:t>
      </w:r>
      <w:r w:rsidR="009E57F0">
        <w:rPr>
          <w:rFonts w:ascii="Arial" w:hAnsi="Arial" w:cs="Arial"/>
        </w:rPr>
        <w:t>10 farmer organisations and community seed producers in 2007 to 470 in 2017 (</w:t>
      </w:r>
      <w:proofErr w:type="spellStart"/>
      <w:r w:rsidR="009E57F0">
        <w:rPr>
          <w:rFonts w:ascii="Arial" w:hAnsi="Arial" w:cs="Arial"/>
        </w:rPr>
        <w:t>Rubyogo</w:t>
      </w:r>
      <w:proofErr w:type="spellEnd"/>
      <w:r w:rsidR="009E57F0">
        <w:rPr>
          <w:rFonts w:ascii="Arial" w:hAnsi="Arial" w:cs="Arial"/>
        </w:rPr>
        <w:t xml:space="preserve"> et. al., 2019).</w:t>
      </w:r>
      <w:r w:rsidR="007E342E">
        <w:rPr>
          <w:rFonts w:ascii="Arial" w:hAnsi="Arial" w:cs="Arial"/>
        </w:rPr>
        <w:t xml:space="preserve"> </w:t>
      </w:r>
      <w:r w:rsidR="007E342E">
        <w:rPr>
          <w:rFonts w:ascii="Arial" w:hAnsi="Arial" w:cs="Arial"/>
        </w:rPr>
        <w:lastRenderedPageBreak/>
        <w:t xml:space="preserve">Running a private seed company requires </w:t>
      </w:r>
      <w:r w:rsidR="00BA77EA">
        <w:rPr>
          <w:rFonts w:ascii="Arial" w:hAnsi="Arial" w:cs="Arial"/>
        </w:rPr>
        <w:t>funds to buy seed</w:t>
      </w:r>
      <w:r w:rsidR="006B52B5">
        <w:rPr>
          <w:rFonts w:ascii="Arial" w:hAnsi="Arial" w:cs="Arial"/>
        </w:rPr>
        <w:t xml:space="preserve"> and management skills</w:t>
      </w:r>
      <w:r w:rsidR="00BA77EA">
        <w:rPr>
          <w:rFonts w:ascii="Arial" w:hAnsi="Arial" w:cs="Arial"/>
        </w:rPr>
        <w:t xml:space="preserve">. </w:t>
      </w:r>
      <w:r w:rsidR="001D31B7">
        <w:rPr>
          <w:rFonts w:ascii="Arial" w:hAnsi="Arial" w:cs="Arial"/>
        </w:rPr>
        <w:t xml:space="preserve">In the case of the ACVD project, ICRISAT found that changing community seed banks into private seed companies was a step too far – they were more effective as </w:t>
      </w:r>
      <w:r w:rsidR="00BA77EA">
        <w:rPr>
          <w:rFonts w:ascii="Arial" w:hAnsi="Arial" w:cs="Arial"/>
        </w:rPr>
        <w:t xml:space="preserve">out-growers, supplying certified seed to companies for distribution and sale (Moses Siambi, pers. comm.). </w:t>
      </w:r>
    </w:p>
    <w:p w14:paraId="5C87C7DB" w14:textId="77777777" w:rsidR="00BA77EA" w:rsidRDefault="00BA77EA" w:rsidP="00CD0B36">
      <w:pPr>
        <w:pStyle w:val="Footer"/>
        <w:jc w:val="both"/>
        <w:rPr>
          <w:rFonts w:ascii="Arial" w:hAnsi="Arial" w:cs="Arial"/>
        </w:rPr>
      </w:pPr>
    </w:p>
    <w:p w14:paraId="2546AAFD" w14:textId="6B18D13C" w:rsidR="008F5E9D" w:rsidRDefault="00BA77EA" w:rsidP="00EB74D9">
      <w:pPr>
        <w:pStyle w:val="Footer"/>
        <w:jc w:val="both"/>
        <w:rPr>
          <w:rFonts w:ascii="Arial" w:hAnsi="Arial" w:cs="Arial"/>
        </w:rPr>
      </w:pPr>
      <w:r>
        <w:rPr>
          <w:rFonts w:ascii="Arial" w:hAnsi="Arial" w:cs="Arial"/>
        </w:rPr>
        <w:t xml:space="preserve">These experiences suggest the need to </w:t>
      </w:r>
      <w:r w:rsidR="005E50EE">
        <w:rPr>
          <w:rFonts w:ascii="Arial" w:hAnsi="Arial" w:cs="Arial"/>
        </w:rPr>
        <w:t xml:space="preserve">move away from a binary view of </w:t>
      </w:r>
      <w:r w:rsidR="00185AD8">
        <w:rPr>
          <w:rFonts w:ascii="Arial" w:hAnsi="Arial" w:cs="Arial"/>
        </w:rPr>
        <w:t xml:space="preserve">project performance – “success” </w:t>
      </w:r>
      <w:r w:rsidR="00061FDC">
        <w:rPr>
          <w:rFonts w:ascii="Arial" w:hAnsi="Arial" w:cs="Arial"/>
        </w:rPr>
        <w:t>or</w:t>
      </w:r>
      <w:r w:rsidR="00185AD8">
        <w:rPr>
          <w:rFonts w:ascii="Arial" w:hAnsi="Arial" w:cs="Arial"/>
        </w:rPr>
        <w:t xml:space="preserve"> “failure” – </w:t>
      </w:r>
      <w:r w:rsidR="005E50EE">
        <w:rPr>
          <w:rFonts w:ascii="Arial" w:hAnsi="Arial" w:cs="Arial"/>
        </w:rPr>
        <w:t xml:space="preserve">and use the scaling framework more as </w:t>
      </w:r>
      <w:r>
        <w:rPr>
          <w:rFonts w:ascii="Arial" w:hAnsi="Arial" w:cs="Arial"/>
        </w:rPr>
        <w:t xml:space="preserve">tool for learning. </w:t>
      </w:r>
      <w:r w:rsidR="00F50629">
        <w:rPr>
          <w:rFonts w:ascii="Arial" w:hAnsi="Arial" w:cs="Arial"/>
        </w:rPr>
        <w:t xml:space="preserve">The framework can be used to systematically review each component and determine what did and did not work, and why. Individual components in the framework can be unpacked and analysed to identify lessons that can improve the design of future scaling projects. </w:t>
      </w:r>
      <w:r w:rsidR="009D7477">
        <w:rPr>
          <w:rFonts w:ascii="Arial" w:hAnsi="Arial" w:cs="Arial"/>
        </w:rPr>
        <w:t>However, learning does not have to wait until the end of the project. T</w:t>
      </w:r>
      <w:r w:rsidR="00F50629">
        <w:rPr>
          <w:rFonts w:ascii="Arial" w:hAnsi="Arial" w:cs="Arial"/>
        </w:rPr>
        <w:t xml:space="preserve">he scaling framework can </w:t>
      </w:r>
      <w:r w:rsidR="009D7477">
        <w:rPr>
          <w:rFonts w:ascii="Arial" w:hAnsi="Arial" w:cs="Arial"/>
        </w:rPr>
        <w:t xml:space="preserve">also be used as a monitoring tool within the lifetime of the project to </w:t>
      </w:r>
      <w:r w:rsidR="00F50629">
        <w:rPr>
          <w:rFonts w:ascii="Arial" w:hAnsi="Arial" w:cs="Arial"/>
        </w:rPr>
        <w:t xml:space="preserve">help set the </w:t>
      </w:r>
      <w:r w:rsidR="009D7477">
        <w:rPr>
          <w:rFonts w:ascii="Arial" w:hAnsi="Arial" w:cs="Arial"/>
        </w:rPr>
        <w:t xml:space="preserve">agenda for the </w:t>
      </w:r>
      <w:r w:rsidR="009D7477" w:rsidRPr="009D7477">
        <w:rPr>
          <w:rFonts w:ascii="Arial" w:hAnsi="Arial" w:cs="Arial"/>
          <w:b/>
          <w:bCs/>
        </w:rPr>
        <w:t>Upstream Research</w:t>
      </w:r>
      <w:r w:rsidR="009D7477">
        <w:rPr>
          <w:rFonts w:ascii="Arial" w:hAnsi="Arial" w:cs="Arial"/>
        </w:rPr>
        <w:t xml:space="preserve"> component. Implementation problems may uncover mistaken assumptions about </w:t>
      </w:r>
      <w:r w:rsidR="009D7477" w:rsidRPr="009D7477">
        <w:rPr>
          <w:rFonts w:ascii="Arial" w:hAnsi="Arial" w:cs="Arial"/>
          <w:b/>
          <w:bCs/>
        </w:rPr>
        <w:t>VC Actor Coordination</w:t>
      </w:r>
      <w:r w:rsidR="009D7477">
        <w:rPr>
          <w:rFonts w:ascii="Arial" w:hAnsi="Arial" w:cs="Arial"/>
        </w:rPr>
        <w:t xml:space="preserve"> or other components of the framework that require more fundamental research. </w:t>
      </w:r>
      <w:r w:rsidR="00FB01E0">
        <w:rPr>
          <w:rFonts w:ascii="Arial" w:hAnsi="Arial" w:cs="Arial"/>
        </w:rPr>
        <w:t xml:space="preserve">The scaling framework can be used to help </w:t>
      </w:r>
      <w:r w:rsidR="005E50EE">
        <w:rPr>
          <w:rFonts w:ascii="Arial" w:hAnsi="Arial" w:cs="Arial"/>
        </w:rPr>
        <w:t>p</w:t>
      </w:r>
      <w:r w:rsidR="009D7477">
        <w:rPr>
          <w:rFonts w:ascii="Arial" w:hAnsi="Arial" w:cs="Arial"/>
        </w:rPr>
        <w:t xml:space="preserve">rojects </w:t>
      </w:r>
      <w:r w:rsidR="00FB01E0">
        <w:rPr>
          <w:rFonts w:ascii="Arial" w:hAnsi="Arial" w:cs="Arial"/>
        </w:rPr>
        <w:t xml:space="preserve">become </w:t>
      </w:r>
      <w:r w:rsidR="009D7477">
        <w:rPr>
          <w:rFonts w:ascii="Arial" w:hAnsi="Arial" w:cs="Arial"/>
        </w:rPr>
        <w:t xml:space="preserve">“learning organisations” that are not afraid to make mistakes </w:t>
      </w:r>
      <w:proofErr w:type="gramStart"/>
      <w:r w:rsidR="009D7477">
        <w:rPr>
          <w:rFonts w:ascii="Arial" w:hAnsi="Arial" w:cs="Arial"/>
        </w:rPr>
        <w:t>provided</w:t>
      </w:r>
      <w:r w:rsidR="007A2787">
        <w:rPr>
          <w:rFonts w:ascii="Arial" w:hAnsi="Arial" w:cs="Arial"/>
        </w:rPr>
        <w:t xml:space="preserve"> </w:t>
      </w:r>
      <w:r w:rsidR="00B84AFD">
        <w:rPr>
          <w:rFonts w:ascii="Arial" w:hAnsi="Arial" w:cs="Arial"/>
        </w:rPr>
        <w:t>that</w:t>
      </w:r>
      <w:proofErr w:type="gramEnd"/>
      <w:r w:rsidR="00B84AFD">
        <w:rPr>
          <w:rFonts w:ascii="Arial" w:hAnsi="Arial" w:cs="Arial"/>
        </w:rPr>
        <w:t xml:space="preserve"> </w:t>
      </w:r>
      <w:r w:rsidR="007A2787">
        <w:rPr>
          <w:rFonts w:ascii="Arial" w:hAnsi="Arial" w:cs="Arial"/>
        </w:rPr>
        <w:t xml:space="preserve">they are </w:t>
      </w:r>
      <w:r w:rsidR="00B84AFD">
        <w:rPr>
          <w:rFonts w:ascii="Arial" w:hAnsi="Arial" w:cs="Arial"/>
        </w:rPr>
        <w:t xml:space="preserve">also </w:t>
      </w:r>
      <w:r w:rsidR="007A2787">
        <w:rPr>
          <w:rFonts w:ascii="Arial" w:hAnsi="Arial" w:cs="Arial"/>
        </w:rPr>
        <w:t xml:space="preserve">willing to learn from them. </w:t>
      </w:r>
    </w:p>
    <w:p w14:paraId="1ED7868C" w14:textId="77777777" w:rsidR="00007080" w:rsidRDefault="00007080" w:rsidP="00EB74D9">
      <w:pPr>
        <w:pStyle w:val="Footer"/>
        <w:jc w:val="both"/>
        <w:rPr>
          <w:rFonts w:ascii="Arial" w:hAnsi="Arial" w:cs="Arial"/>
        </w:rPr>
      </w:pPr>
    </w:p>
    <w:p w14:paraId="05DF17EB" w14:textId="0C97BB6E" w:rsidR="00007080" w:rsidRDefault="00007080" w:rsidP="00007080">
      <w:pPr>
        <w:pStyle w:val="Footer"/>
        <w:numPr>
          <w:ilvl w:val="0"/>
          <w:numId w:val="1"/>
        </w:numPr>
        <w:jc w:val="center"/>
        <w:rPr>
          <w:rFonts w:ascii="Arial" w:hAnsi="Arial" w:cs="Arial"/>
          <w:b/>
          <w:bCs/>
        </w:rPr>
      </w:pPr>
      <w:r w:rsidRPr="00007080">
        <w:rPr>
          <w:rFonts w:ascii="Arial" w:hAnsi="Arial" w:cs="Arial"/>
          <w:b/>
          <w:bCs/>
        </w:rPr>
        <w:t>Gaps in the Scaling Framework</w:t>
      </w:r>
    </w:p>
    <w:p w14:paraId="33FE2601" w14:textId="3804D34C" w:rsidR="00983C21" w:rsidRDefault="00983C21" w:rsidP="00983C21">
      <w:pPr>
        <w:pStyle w:val="Footer"/>
        <w:jc w:val="center"/>
        <w:rPr>
          <w:rFonts w:ascii="Arial" w:hAnsi="Arial" w:cs="Arial"/>
          <w:b/>
          <w:bCs/>
        </w:rPr>
      </w:pPr>
    </w:p>
    <w:p w14:paraId="04C63BD2" w14:textId="17F1E5C1" w:rsidR="00983C21" w:rsidRPr="00983C21" w:rsidRDefault="00983C21" w:rsidP="00983C21">
      <w:pPr>
        <w:pStyle w:val="Footer"/>
        <w:jc w:val="center"/>
        <w:rPr>
          <w:rFonts w:ascii="Arial" w:hAnsi="Arial" w:cs="Arial"/>
          <w:i/>
          <w:iCs/>
        </w:rPr>
      </w:pPr>
      <w:r w:rsidRPr="00983C21">
        <w:rPr>
          <w:rFonts w:ascii="Arial" w:hAnsi="Arial" w:cs="Arial"/>
          <w:i/>
          <w:iCs/>
        </w:rPr>
        <w:t>“Framework:</w:t>
      </w:r>
      <w:r>
        <w:rPr>
          <w:rFonts w:ascii="Arial" w:hAnsi="Arial" w:cs="Arial"/>
          <w:i/>
          <w:iCs/>
        </w:rPr>
        <w:t xml:space="preserve"> </w:t>
      </w:r>
      <w:r w:rsidRPr="00983C21">
        <w:rPr>
          <w:rFonts w:ascii="Arial" w:hAnsi="Arial" w:cs="Arial"/>
          <w:i/>
          <w:iCs/>
        </w:rPr>
        <w:t xml:space="preserve">a </w:t>
      </w:r>
      <w:r>
        <w:rPr>
          <w:rFonts w:ascii="Arial" w:hAnsi="Arial" w:cs="Arial"/>
          <w:i/>
          <w:iCs/>
        </w:rPr>
        <w:t xml:space="preserve">structure </w:t>
      </w:r>
      <w:r w:rsidRPr="00983C21">
        <w:rPr>
          <w:rFonts w:ascii="Arial" w:hAnsi="Arial" w:cs="Arial"/>
          <w:i/>
          <w:iCs/>
        </w:rPr>
        <w:t xml:space="preserve">into which contents can be put, a skeleton” </w:t>
      </w:r>
    </w:p>
    <w:p w14:paraId="2C2AE9C5" w14:textId="6810C4A2" w:rsidR="00983C21" w:rsidRPr="00983C21" w:rsidRDefault="00983C21" w:rsidP="00983C21">
      <w:pPr>
        <w:pStyle w:val="Footer"/>
        <w:jc w:val="center"/>
        <w:rPr>
          <w:rFonts w:ascii="Arial" w:hAnsi="Arial" w:cs="Arial"/>
          <w:i/>
          <w:iCs/>
        </w:rPr>
      </w:pPr>
      <w:r w:rsidRPr="00983C21">
        <w:rPr>
          <w:rFonts w:ascii="Arial" w:hAnsi="Arial" w:cs="Arial"/>
          <w:i/>
          <w:iCs/>
        </w:rPr>
        <w:t>(Shorter Oxford Dictionary)</w:t>
      </w:r>
    </w:p>
    <w:p w14:paraId="1B181663" w14:textId="061F89B1" w:rsidR="009E19CF" w:rsidRDefault="009E19CF" w:rsidP="009E19CF">
      <w:pPr>
        <w:pStyle w:val="Footer"/>
        <w:jc w:val="center"/>
        <w:rPr>
          <w:rFonts w:ascii="Arial" w:hAnsi="Arial" w:cs="Arial"/>
          <w:b/>
          <w:bCs/>
        </w:rPr>
      </w:pPr>
    </w:p>
    <w:p w14:paraId="05CEC2D6" w14:textId="2CF341AD" w:rsidR="001627F0" w:rsidRDefault="00983C21" w:rsidP="009E19CF">
      <w:pPr>
        <w:jc w:val="both"/>
        <w:rPr>
          <w:rFonts w:ascii="Arial" w:hAnsi="Arial" w:cs="Arial"/>
        </w:rPr>
      </w:pPr>
      <w:r>
        <w:rPr>
          <w:rFonts w:ascii="Arial" w:hAnsi="Arial" w:cs="Arial"/>
        </w:rPr>
        <w:t xml:space="preserve">A framework is not a model, </w:t>
      </w:r>
      <w:r w:rsidR="00154397">
        <w:rPr>
          <w:rFonts w:ascii="Arial" w:hAnsi="Arial" w:cs="Arial"/>
        </w:rPr>
        <w:t xml:space="preserve">or a narrative which explains </w:t>
      </w:r>
      <w:r>
        <w:rPr>
          <w:rFonts w:ascii="Arial" w:hAnsi="Arial" w:cs="Arial"/>
        </w:rPr>
        <w:t xml:space="preserve">how scaling works. </w:t>
      </w:r>
      <w:r w:rsidR="00FB01E0">
        <w:rPr>
          <w:rFonts w:ascii="Arial" w:hAnsi="Arial" w:cs="Arial"/>
        </w:rPr>
        <w:t xml:space="preserve">Rather, </w:t>
      </w:r>
      <w:r w:rsidR="00154397">
        <w:rPr>
          <w:rFonts w:ascii="Arial" w:hAnsi="Arial" w:cs="Arial"/>
        </w:rPr>
        <w:t xml:space="preserve">the GLDC </w:t>
      </w:r>
      <w:r w:rsidR="009E19CF" w:rsidRPr="009E19CF">
        <w:rPr>
          <w:rFonts w:ascii="Arial" w:hAnsi="Arial" w:cs="Arial"/>
        </w:rPr>
        <w:t xml:space="preserve">scaling framework is </w:t>
      </w:r>
      <w:r w:rsidR="008E0E83">
        <w:rPr>
          <w:rFonts w:ascii="Arial" w:hAnsi="Arial" w:cs="Arial"/>
        </w:rPr>
        <w:t xml:space="preserve">the product of </w:t>
      </w:r>
      <w:r w:rsidR="009E19CF">
        <w:rPr>
          <w:rFonts w:ascii="Arial" w:hAnsi="Arial" w:cs="Arial"/>
        </w:rPr>
        <w:t xml:space="preserve">a </w:t>
      </w:r>
      <w:r w:rsidR="00154397">
        <w:rPr>
          <w:rFonts w:ascii="Arial" w:hAnsi="Arial" w:cs="Arial"/>
        </w:rPr>
        <w:t xml:space="preserve">model </w:t>
      </w:r>
      <w:r w:rsidR="0070564D">
        <w:rPr>
          <w:rFonts w:ascii="Arial" w:hAnsi="Arial" w:cs="Arial"/>
        </w:rPr>
        <w:t xml:space="preserve">which sees agricultural development as a </w:t>
      </w:r>
      <w:r w:rsidR="009E19CF">
        <w:rPr>
          <w:rFonts w:ascii="Arial" w:hAnsi="Arial" w:cs="Arial"/>
        </w:rPr>
        <w:t>transition from subsistence to commercial agriculture.</w:t>
      </w:r>
      <w:r w:rsidR="0070564D">
        <w:rPr>
          <w:rFonts w:ascii="Arial" w:hAnsi="Arial" w:cs="Arial"/>
        </w:rPr>
        <w:t xml:space="preserve"> </w:t>
      </w:r>
      <w:r w:rsidR="00EB7194" w:rsidRPr="009E19CF">
        <w:rPr>
          <w:rFonts w:ascii="Arial" w:hAnsi="Arial" w:cs="Arial"/>
        </w:rPr>
        <w:t>Any discussion of th</w:t>
      </w:r>
      <w:r w:rsidR="00154397">
        <w:rPr>
          <w:rFonts w:ascii="Arial" w:hAnsi="Arial" w:cs="Arial"/>
        </w:rPr>
        <w:t>e</w:t>
      </w:r>
      <w:r w:rsidR="00EB7194" w:rsidRPr="009E19CF">
        <w:rPr>
          <w:rFonts w:ascii="Arial" w:hAnsi="Arial" w:cs="Arial"/>
        </w:rPr>
        <w:t xml:space="preserve"> </w:t>
      </w:r>
      <w:r w:rsidR="00154397">
        <w:rPr>
          <w:rFonts w:ascii="Arial" w:hAnsi="Arial" w:cs="Arial"/>
        </w:rPr>
        <w:t xml:space="preserve">scaling </w:t>
      </w:r>
      <w:r w:rsidR="00EB7194" w:rsidRPr="009E19CF">
        <w:rPr>
          <w:rFonts w:ascii="Arial" w:hAnsi="Arial" w:cs="Arial"/>
        </w:rPr>
        <w:t>framework needs to be set within this wider context</w:t>
      </w:r>
      <w:r w:rsidR="00EB7194">
        <w:rPr>
          <w:rFonts w:ascii="Arial" w:hAnsi="Arial" w:cs="Arial"/>
        </w:rPr>
        <w:t xml:space="preserve">. </w:t>
      </w:r>
    </w:p>
    <w:p w14:paraId="191409E5" w14:textId="0C497D6D" w:rsidR="0018305E" w:rsidRDefault="00EB7194" w:rsidP="009E19CF">
      <w:pPr>
        <w:jc w:val="both"/>
        <w:rPr>
          <w:rFonts w:ascii="Arial" w:hAnsi="Arial" w:cs="Arial"/>
        </w:rPr>
      </w:pPr>
      <w:r>
        <w:rPr>
          <w:rFonts w:ascii="Arial" w:hAnsi="Arial" w:cs="Arial"/>
        </w:rPr>
        <w:t xml:space="preserve">Several components of the scaling framework are relevant here. </w:t>
      </w:r>
      <w:r w:rsidR="0070564D" w:rsidRPr="0070564D">
        <w:rPr>
          <w:rFonts w:ascii="Arial" w:hAnsi="Arial" w:cs="Arial"/>
          <w:b/>
          <w:bCs/>
        </w:rPr>
        <w:t>Feedback systems</w:t>
      </w:r>
      <w:r w:rsidR="0070564D">
        <w:rPr>
          <w:rFonts w:ascii="Arial" w:hAnsi="Arial" w:cs="Arial"/>
        </w:rPr>
        <w:t xml:space="preserve"> </w:t>
      </w:r>
      <w:r w:rsidR="00460083">
        <w:rPr>
          <w:rFonts w:ascii="Arial" w:hAnsi="Arial" w:cs="Arial"/>
        </w:rPr>
        <w:t xml:space="preserve">in public-sector breeding programs will “adopt operational and structural improvements that closely mirror efficient private sector breeding programs”, including </w:t>
      </w:r>
      <w:r w:rsidR="0092227C">
        <w:rPr>
          <w:rFonts w:ascii="Arial" w:hAnsi="Arial" w:cs="Arial"/>
        </w:rPr>
        <w:t xml:space="preserve">the same </w:t>
      </w:r>
      <w:r w:rsidR="0070564D">
        <w:rPr>
          <w:rFonts w:ascii="Arial" w:hAnsi="Arial" w:cs="Arial"/>
        </w:rPr>
        <w:t xml:space="preserve">management systems (Breeding Program Assessment Tools) </w:t>
      </w:r>
      <w:r w:rsidR="0092227C">
        <w:rPr>
          <w:rFonts w:ascii="Arial" w:hAnsi="Arial" w:cs="Arial"/>
        </w:rPr>
        <w:t xml:space="preserve">as </w:t>
      </w:r>
      <w:r w:rsidR="0070564D">
        <w:rPr>
          <w:rFonts w:ascii="Arial" w:hAnsi="Arial" w:cs="Arial"/>
        </w:rPr>
        <w:t>commercial seed companies</w:t>
      </w:r>
      <w:r w:rsidR="00460083">
        <w:rPr>
          <w:rFonts w:ascii="Arial" w:hAnsi="Arial" w:cs="Arial"/>
        </w:rPr>
        <w:t xml:space="preserve"> (</w:t>
      </w:r>
      <w:r w:rsidR="00F02ADC">
        <w:rPr>
          <w:rFonts w:ascii="Arial" w:hAnsi="Arial" w:cs="Arial"/>
        </w:rPr>
        <w:t>ICRISAT, 2013, pp.</w:t>
      </w:r>
      <w:r w:rsidR="00460083">
        <w:rPr>
          <w:rFonts w:ascii="Arial" w:hAnsi="Arial" w:cs="Arial"/>
        </w:rPr>
        <w:t xml:space="preserve"> </w:t>
      </w:r>
      <w:r w:rsidR="002961B2">
        <w:rPr>
          <w:rFonts w:ascii="Arial" w:hAnsi="Arial" w:cs="Arial"/>
        </w:rPr>
        <w:t>7, 23</w:t>
      </w:r>
      <w:r w:rsidR="00460083">
        <w:rPr>
          <w:rFonts w:ascii="Arial" w:hAnsi="Arial" w:cs="Arial"/>
        </w:rPr>
        <w:t>)</w:t>
      </w:r>
      <w:r w:rsidR="0092227C">
        <w:rPr>
          <w:rFonts w:ascii="Arial" w:hAnsi="Arial" w:cs="Arial"/>
        </w:rPr>
        <w:t>.</w:t>
      </w:r>
      <w:r w:rsidR="0070564D">
        <w:rPr>
          <w:rFonts w:ascii="Arial" w:hAnsi="Arial" w:cs="Arial"/>
        </w:rPr>
        <w:t xml:space="preserve"> </w:t>
      </w:r>
      <w:r w:rsidR="00E95023">
        <w:rPr>
          <w:rFonts w:ascii="Arial" w:hAnsi="Arial" w:cs="Arial"/>
        </w:rPr>
        <w:t xml:space="preserve"> – </w:t>
      </w:r>
      <w:r w:rsidR="00E95023" w:rsidRPr="00E95023">
        <w:rPr>
          <w:rFonts w:ascii="Arial" w:hAnsi="Arial" w:cs="Arial"/>
          <w:b/>
          <w:bCs/>
        </w:rPr>
        <w:t>Marketability</w:t>
      </w:r>
      <w:r w:rsidR="00E95023">
        <w:rPr>
          <w:rFonts w:ascii="Arial" w:hAnsi="Arial" w:cs="Arial"/>
        </w:rPr>
        <w:t xml:space="preserve"> – </w:t>
      </w:r>
      <w:r w:rsidR="0018305E">
        <w:rPr>
          <w:rFonts w:ascii="Arial" w:hAnsi="Arial" w:cs="Arial"/>
        </w:rPr>
        <w:t xml:space="preserve">access to markets – </w:t>
      </w:r>
      <w:r w:rsidR="0092227C">
        <w:rPr>
          <w:rFonts w:ascii="Arial" w:hAnsi="Arial" w:cs="Arial"/>
        </w:rPr>
        <w:t xml:space="preserve">is </w:t>
      </w:r>
      <w:r w:rsidR="00460083">
        <w:rPr>
          <w:rFonts w:ascii="Arial" w:hAnsi="Arial" w:cs="Arial"/>
        </w:rPr>
        <w:t xml:space="preserve">seen as </w:t>
      </w:r>
      <w:r w:rsidR="009B6D32">
        <w:rPr>
          <w:rFonts w:ascii="Arial" w:hAnsi="Arial" w:cs="Arial"/>
        </w:rPr>
        <w:t>a precondition for scaling</w:t>
      </w:r>
      <w:r w:rsidR="00460083">
        <w:rPr>
          <w:rFonts w:ascii="Arial" w:hAnsi="Arial" w:cs="Arial"/>
        </w:rPr>
        <w:t xml:space="preserve"> </w:t>
      </w:r>
      <w:r w:rsidR="00522764">
        <w:rPr>
          <w:rFonts w:ascii="Arial" w:hAnsi="Arial" w:cs="Arial"/>
        </w:rPr>
        <w:t xml:space="preserve">as smallholder agriculture is commercialised. </w:t>
      </w:r>
      <w:r w:rsidR="009B6D32">
        <w:rPr>
          <w:rFonts w:ascii="Arial" w:hAnsi="Arial" w:cs="Arial"/>
        </w:rPr>
        <w:t xml:space="preserve">The uptake of new technology is driven by </w:t>
      </w:r>
      <w:r w:rsidR="009B6D32" w:rsidRPr="009B6D32">
        <w:rPr>
          <w:rFonts w:ascii="Arial" w:hAnsi="Arial" w:cs="Arial"/>
          <w:b/>
          <w:bCs/>
        </w:rPr>
        <w:t>Consumer Demand</w:t>
      </w:r>
      <w:r w:rsidR="0092227C">
        <w:rPr>
          <w:rFonts w:ascii="Arial" w:hAnsi="Arial" w:cs="Arial"/>
          <w:b/>
          <w:bCs/>
        </w:rPr>
        <w:t xml:space="preserve">, </w:t>
      </w:r>
      <w:r w:rsidR="002961B2" w:rsidRPr="002961B2">
        <w:rPr>
          <w:rFonts w:ascii="Arial" w:hAnsi="Arial" w:cs="Arial"/>
        </w:rPr>
        <w:t xml:space="preserve">as smallholders respond to rising demand from growing urban populations and new industrial uses. </w:t>
      </w:r>
      <w:r w:rsidR="00BE5EB2">
        <w:rPr>
          <w:rFonts w:ascii="Arial" w:hAnsi="Arial" w:cs="Arial"/>
        </w:rPr>
        <w:t>Symptomatic in this regard is the re-branding of sorghum and millets from “poor man’s crops” for hungry subsistence farmers to nutrient-rich Smart Foods targeted at health-conscious middle-class consumers (ICRISAT, 2019).</w:t>
      </w:r>
      <w:r w:rsidR="00F317BE">
        <w:rPr>
          <w:rFonts w:ascii="Arial" w:hAnsi="Arial" w:cs="Arial"/>
        </w:rPr>
        <w:t xml:space="preserve"> </w:t>
      </w:r>
      <w:r w:rsidR="002961B2" w:rsidRPr="002961B2">
        <w:rPr>
          <w:rFonts w:ascii="Arial" w:hAnsi="Arial" w:cs="Arial"/>
        </w:rPr>
        <w:t>T</w:t>
      </w:r>
      <w:r w:rsidR="001342BD" w:rsidRPr="002961B2">
        <w:rPr>
          <w:rFonts w:ascii="Arial" w:hAnsi="Arial" w:cs="Arial"/>
        </w:rPr>
        <w:t xml:space="preserve">he </w:t>
      </w:r>
      <w:r w:rsidR="00FB01E0">
        <w:rPr>
          <w:rFonts w:ascii="Arial" w:hAnsi="Arial" w:cs="Arial"/>
        </w:rPr>
        <w:t xml:space="preserve">design of the GLDC program and the four scaling projects reflect this model. </w:t>
      </w:r>
      <w:r w:rsidR="00485121">
        <w:rPr>
          <w:rFonts w:ascii="Arial" w:hAnsi="Arial" w:cs="Arial"/>
        </w:rPr>
        <w:t xml:space="preserve">The AVCD </w:t>
      </w:r>
      <w:r w:rsidR="00F13B9E">
        <w:rPr>
          <w:rFonts w:ascii="Arial" w:hAnsi="Arial" w:cs="Arial"/>
        </w:rPr>
        <w:t xml:space="preserve">project </w:t>
      </w:r>
      <w:r w:rsidR="00485121">
        <w:rPr>
          <w:rFonts w:ascii="Arial" w:hAnsi="Arial" w:cs="Arial"/>
        </w:rPr>
        <w:t>speaks of “a total shift in mind-set in terms of how farming is viewed – from subsistence to farming as a business” (</w:t>
      </w:r>
      <w:r w:rsidR="00F02ADC">
        <w:rPr>
          <w:rFonts w:ascii="Arial" w:hAnsi="Arial" w:cs="Arial"/>
        </w:rPr>
        <w:t xml:space="preserve">ILRI, 2016, p. </w:t>
      </w:r>
      <w:r w:rsidR="00485121">
        <w:rPr>
          <w:rFonts w:ascii="Arial" w:hAnsi="Arial" w:cs="Arial"/>
        </w:rPr>
        <w:t>2).</w:t>
      </w:r>
      <w:r w:rsidR="002961B2">
        <w:rPr>
          <w:rFonts w:ascii="Arial" w:hAnsi="Arial" w:cs="Arial"/>
        </w:rPr>
        <w:t xml:space="preserve"> </w:t>
      </w:r>
    </w:p>
    <w:p w14:paraId="1135FD1D" w14:textId="6DAF568F" w:rsidR="00B31060" w:rsidRDefault="004C1A75" w:rsidP="004C1A75">
      <w:pPr>
        <w:jc w:val="both"/>
        <w:rPr>
          <w:rFonts w:ascii="Arial" w:hAnsi="Arial" w:cs="Arial"/>
        </w:rPr>
      </w:pPr>
      <w:r>
        <w:rPr>
          <w:rFonts w:ascii="Arial" w:hAnsi="Arial" w:cs="Arial"/>
        </w:rPr>
        <w:t xml:space="preserve">The </w:t>
      </w:r>
      <w:r w:rsidR="001627F0">
        <w:rPr>
          <w:rFonts w:ascii="Arial" w:hAnsi="Arial" w:cs="Arial"/>
        </w:rPr>
        <w:t xml:space="preserve">GLDC </w:t>
      </w:r>
      <w:r>
        <w:rPr>
          <w:rFonts w:ascii="Arial" w:hAnsi="Arial" w:cs="Arial"/>
        </w:rPr>
        <w:t xml:space="preserve">scaling framework </w:t>
      </w:r>
      <w:r w:rsidR="000D3527">
        <w:rPr>
          <w:rFonts w:ascii="Arial" w:hAnsi="Arial" w:cs="Arial"/>
        </w:rPr>
        <w:t xml:space="preserve">seeks </w:t>
      </w:r>
      <w:r>
        <w:rPr>
          <w:rFonts w:ascii="Arial" w:hAnsi="Arial" w:cs="Arial"/>
        </w:rPr>
        <w:t xml:space="preserve">to operationalise this </w:t>
      </w:r>
      <w:r w:rsidR="00BC4005">
        <w:rPr>
          <w:rFonts w:ascii="Arial" w:hAnsi="Arial" w:cs="Arial"/>
        </w:rPr>
        <w:t>narrative</w:t>
      </w:r>
      <w:r w:rsidR="001627F0">
        <w:rPr>
          <w:rFonts w:ascii="Arial" w:hAnsi="Arial" w:cs="Arial"/>
        </w:rPr>
        <w:t xml:space="preserve">, </w:t>
      </w:r>
      <w:r>
        <w:rPr>
          <w:rFonts w:ascii="Arial" w:hAnsi="Arial" w:cs="Arial"/>
        </w:rPr>
        <w:t xml:space="preserve">not to challenge </w:t>
      </w:r>
      <w:r w:rsidR="001627F0">
        <w:rPr>
          <w:rFonts w:ascii="Arial" w:hAnsi="Arial" w:cs="Arial"/>
        </w:rPr>
        <w:t xml:space="preserve">it. </w:t>
      </w:r>
      <w:r>
        <w:rPr>
          <w:rFonts w:ascii="Arial" w:hAnsi="Arial" w:cs="Arial"/>
        </w:rPr>
        <w:t xml:space="preserve">Nevertheless, </w:t>
      </w:r>
      <w:r w:rsidR="00DE300D">
        <w:rPr>
          <w:rFonts w:ascii="Arial" w:hAnsi="Arial" w:cs="Arial"/>
        </w:rPr>
        <w:t xml:space="preserve">the framework </w:t>
      </w:r>
      <w:r w:rsidR="001E4894">
        <w:rPr>
          <w:rFonts w:ascii="Arial" w:hAnsi="Arial" w:cs="Arial"/>
        </w:rPr>
        <w:t xml:space="preserve">should </w:t>
      </w:r>
      <w:r w:rsidR="000D3527">
        <w:rPr>
          <w:rFonts w:ascii="Arial" w:hAnsi="Arial" w:cs="Arial"/>
        </w:rPr>
        <w:t>treat these assumptions as hypotheses</w:t>
      </w:r>
      <w:r w:rsidR="001E4894">
        <w:rPr>
          <w:rFonts w:ascii="Arial" w:hAnsi="Arial" w:cs="Arial"/>
        </w:rPr>
        <w:t xml:space="preserve">, and thus </w:t>
      </w:r>
      <w:r w:rsidR="00DE300D">
        <w:rPr>
          <w:rFonts w:ascii="Arial" w:hAnsi="Arial" w:cs="Arial"/>
        </w:rPr>
        <w:t xml:space="preserve">test the </w:t>
      </w:r>
      <w:r w:rsidR="001E4894">
        <w:rPr>
          <w:rFonts w:ascii="Arial" w:hAnsi="Arial" w:cs="Arial"/>
        </w:rPr>
        <w:t>narrative t</w:t>
      </w:r>
      <w:r w:rsidR="00DE300D">
        <w:rPr>
          <w:rFonts w:ascii="Arial" w:hAnsi="Arial" w:cs="Arial"/>
        </w:rPr>
        <w:t xml:space="preserve">hat </w:t>
      </w:r>
      <w:r w:rsidR="001E4894">
        <w:rPr>
          <w:rFonts w:ascii="Arial" w:hAnsi="Arial" w:cs="Arial"/>
        </w:rPr>
        <w:t xml:space="preserve">lies behind the </w:t>
      </w:r>
      <w:r w:rsidR="00DE300D">
        <w:rPr>
          <w:rFonts w:ascii="Arial" w:hAnsi="Arial" w:cs="Arial"/>
        </w:rPr>
        <w:t>framework</w:t>
      </w:r>
      <w:r w:rsidR="001E4894">
        <w:rPr>
          <w:rFonts w:ascii="Arial" w:hAnsi="Arial" w:cs="Arial"/>
        </w:rPr>
        <w:t xml:space="preserve"> itself</w:t>
      </w:r>
      <w:r w:rsidR="00DE300D">
        <w:rPr>
          <w:rFonts w:ascii="Arial" w:hAnsi="Arial" w:cs="Arial"/>
        </w:rPr>
        <w:t xml:space="preserve">. </w:t>
      </w:r>
      <w:r w:rsidR="0018305E">
        <w:rPr>
          <w:rFonts w:ascii="Arial" w:hAnsi="Arial" w:cs="Arial"/>
        </w:rPr>
        <w:t>This model of agricultural transformation assumes that subsistence farmers are commercial farmers in embryo. However, not all subsistence farmers have the same potential to ‘step up’ and commercialise. Some will continue ‘hanging-in’ to subsistence agriculture while others will have no choice except to ‘step out’ of agriculture altogether (DFID, 201</w:t>
      </w:r>
      <w:r w:rsidR="005D6321">
        <w:rPr>
          <w:rFonts w:ascii="Arial" w:hAnsi="Arial" w:cs="Arial"/>
        </w:rPr>
        <w:t>5</w:t>
      </w:r>
      <w:r w:rsidR="0018305E">
        <w:rPr>
          <w:rFonts w:ascii="Arial" w:hAnsi="Arial" w:cs="Arial"/>
        </w:rPr>
        <w:t>). T</w:t>
      </w:r>
      <w:r w:rsidR="00DE300D">
        <w:rPr>
          <w:rFonts w:ascii="Arial" w:hAnsi="Arial" w:cs="Arial"/>
        </w:rPr>
        <w:t xml:space="preserve">he assumption that </w:t>
      </w:r>
      <w:r w:rsidR="00185AD8">
        <w:rPr>
          <w:rFonts w:ascii="Arial" w:hAnsi="Arial" w:cs="Arial"/>
        </w:rPr>
        <w:t xml:space="preserve">adoption at scale </w:t>
      </w:r>
      <w:r w:rsidR="00DE300D">
        <w:rPr>
          <w:rFonts w:ascii="Arial" w:hAnsi="Arial" w:cs="Arial"/>
        </w:rPr>
        <w:t xml:space="preserve">is driven by </w:t>
      </w:r>
      <w:r w:rsidR="00734427">
        <w:rPr>
          <w:rFonts w:ascii="Arial" w:hAnsi="Arial" w:cs="Arial"/>
        </w:rPr>
        <w:t xml:space="preserve">market </w:t>
      </w:r>
      <w:r w:rsidR="00DE300D">
        <w:rPr>
          <w:rFonts w:ascii="Arial" w:hAnsi="Arial" w:cs="Arial"/>
        </w:rPr>
        <w:t xml:space="preserve">demand </w:t>
      </w:r>
      <w:r w:rsidR="00734427">
        <w:rPr>
          <w:rFonts w:ascii="Arial" w:hAnsi="Arial" w:cs="Arial"/>
        </w:rPr>
        <w:t xml:space="preserve">is </w:t>
      </w:r>
      <w:r w:rsidR="00DE300D">
        <w:rPr>
          <w:rFonts w:ascii="Arial" w:hAnsi="Arial" w:cs="Arial"/>
        </w:rPr>
        <w:t>questionable</w:t>
      </w:r>
      <w:r w:rsidR="00EF351C">
        <w:rPr>
          <w:rFonts w:ascii="Arial" w:hAnsi="Arial" w:cs="Arial"/>
        </w:rPr>
        <w:t>, since r</w:t>
      </w:r>
      <w:r w:rsidR="00185AD8">
        <w:rPr>
          <w:rFonts w:ascii="Arial" w:hAnsi="Arial" w:cs="Arial"/>
        </w:rPr>
        <w:t xml:space="preserve">esource-poor farmers may prioritise home consumption. </w:t>
      </w:r>
      <w:r w:rsidR="001627F0">
        <w:rPr>
          <w:rFonts w:ascii="Arial" w:hAnsi="Arial" w:cs="Arial"/>
        </w:rPr>
        <w:t>Thus, pastoralists “prioritise milk production and herd growth over livestock sales” (</w:t>
      </w:r>
      <w:r w:rsidR="0073356B">
        <w:rPr>
          <w:rFonts w:ascii="Arial" w:hAnsi="Arial" w:cs="Arial"/>
        </w:rPr>
        <w:t xml:space="preserve">ILRI, 2016, </w:t>
      </w:r>
      <w:r w:rsidR="001627F0">
        <w:rPr>
          <w:rFonts w:ascii="Arial" w:hAnsi="Arial" w:cs="Arial"/>
        </w:rPr>
        <w:t>p. 11, citing Little et. al., 2014).</w:t>
      </w:r>
      <w:r w:rsidR="001627F0" w:rsidRPr="00185AD8">
        <w:rPr>
          <w:rFonts w:ascii="Arial" w:hAnsi="Arial" w:cs="Arial"/>
        </w:rPr>
        <w:t xml:space="preserve"> </w:t>
      </w:r>
      <w:r w:rsidR="00280978">
        <w:rPr>
          <w:rFonts w:ascii="Arial" w:hAnsi="Arial" w:cs="Arial"/>
        </w:rPr>
        <w:t>Scaling strategies based on th</w:t>
      </w:r>
      <w:r w:rsidR="00EF351C">
        <w:rPr>
          <w:rFonts w:ascii="Arial" w:hAnsi="Arial" w:cs="Arial"/>
        </w:rPr>
        <w:t xml:space="preserve">e </w:t>
      </w:r>
      <w:r w:rsidR="00280978">
        <w:rPr>
          <w:rFonts w:ascii="Arial" w:hAnsi="Arial" w:cs="Arial"/>
        </w:rPr>
        <w:t xml:space="preserve">assumption </w:t>
      </w:r>
      <w:r w:rsidR="001E4894">
        <w:rPr>
          <w:rFonts w:ascii="Arial" w:hAnsi="Arial" w:cs="Arial"/>
        </w:rPr>
        <w:lastRenderedPageBreak/>
        <w:t xml:space="preserve">that adoption is driven by </w:t>
      </w:r>
      <w:r w:rsidR="00EF351C">
        <w:rPr>
          <w:rFonts w:ascii="Arial" w:hAnsi="Arial" w:cs="Arial"/>
        </w:rPr>
        <w:t xml:space="preserve">market demand </w:t>
      </w:r>
      <w:r w:rsidR="00280978">
        <w:rPr>
          <w:rFonts w:ascii="Arial" w:hAnsi="Arial" w:cs="Arial"/>
        </w:rPr>
        <w:t xml:space="preserve">can tie themselves in </w:t>
      </w:r>
      <w:r w:rsidR="007E2F82">
        <w:rPr>
          <w:rFonts w:ascii="Arial" w:hAnsi="Arial" w:cs="Arial"/>
        </w:rPr>
        <w:t xml:space="preserve">logical </w:t>
      </w:r>
      <w:r w:rsidR="00280978">
        <w:rPr>
          <w:rFonts w:ascii="Arial" w:hAnsi="Arial" w:cs="Arial"/>
        </w:rPr>
        <w:t>knots</w:t>
      </w:r>
      <w:r w:rsidR="000A3044">
        <w:rPr>
          <w:rFonts w:ascii="Arial" w:hAnsi="Arial" w:cs="Arial"/>
        </w:rPr>
        <w:t>.</w:t>
      </w:r>
      <w:r>
        <w:rPr>
          <w:rStyle w:val="FootnoteReference"/>
          <w:rFonts w:ascii="Arial" w:hAnsi="Arial" w:cs="Arial"/>
        </w:rPr>
        <w:footnoteReference w:id="3"/>
      </w:r>
      <w:r>
        <w:rPr>
          <w:rFonts w:ascii="Arial" w:hAnsi="Arial" w:cs="Arial"/>
        </w:rPr>
        <w:t xml:space="preserve"> </w:t>
      </w:r>
      <w:r w:rsidR="00280978">
        <w:rPr>
          <w:rFonts w:ascii="Arial" w:hAnsi="Arial" w:cs="Arial"/>
        </w:rPr>
        <w:t xml:space="preserve">Similarly, blaming low uptake of improved varieties on the lack of financial incentives for private seed companies </w:t>
      </w:r>
      <w:r w:rsidR="001E4894">
        <w:rPr>
          <w:rFonts w:ascii="Arial" w:hAnsi="Arial" w:cs="Arial"/>
        </w:rPr>
        <w:t xml:space="preserve">overlooks </w:t>
      </w:r>
      <w:r w:rsidR="00280978">
        <w:rPr>
          <w:rFonts w:ascii="Arial" w:hAnsi="Arial" w:cs="Arial"/>
        </w:rPr>
        <w:t xml:space="preserve">the </w:t>
      </w:r>
      <w:r w:rsidR="007E2F82">
        <w:rPr>
          <w:rFonts w:ascii="Arial" w:hAnsi="Arial" w:cs="Arial"/>
        </w:rPr>
        <w:t xml:space="preserve">role of </w:t>
      </w:r>
      <w:r w:rsidR="00280978">
        <w:rPr>
          <w:rFonts w:ascii="Arial" w:hAnsi="Arial" w:cs="Arial"/>
        </w:rPr>
        <w:t xml:space="preserve">farmer-to-farmer diffusion. </w:t>
      </w:r>
      <w:r w:rsidR="003B1DB8">
        <w:rPr>
          <w:rFonts w:ascii="Arial" w:hAnsi="Arial" w:cs="Arial"/>
        </w:rPr>
        <w:t xml:space="preserve">In Malawi, </w:t>
      </w:r>
      <w:r w:rsidR="007E2F82">
        <w:rPr>
          <w:rFonts w:ascii="Arial" w:hAnsi="Arial" w:cs="Arial"/>
        </w:rPr>
        <w:t>t</w:t>
      </w:r>
      <w:r w:rsidR="00280978">
        <w:rPr>
          <w:rFonts w:ascii="Arial" w:hAnsi="Arial" w:cs="Arial"/>
        </w:rPr>
        <w:t xml:space="preserve">he </w:t>
      </w:r>
      <w:r w:rsidR="007E2F82">
        <w:rPr>
          <w:rFonts w:ascii="Arial" w:hAnsi="Arial" w:cs="Arial"/>
        </w:rPr>
        <w:t xml:space="preserve">unknown </w:t>
      </w:r>
      <w:r w:rsidR="00280978">
        <w:rPr>
          <w:rFonts w:ascii="Arial" w:hAnsi="Arial" w:cs="Arial"/>
        </w:rPr>
        <w:t xml:space="preserve">variety </w:t>
      </w:r>
      <w:proofErr w:type="spellStart"/>
      <w:r w:rsidR="00280978">
        <w:rPr>
          <w:rFonts w:ascii="Arial" w:hAnsi="Arial" w:cs="Arial"/>
        </w:rPr>
        <w:t>Nthawajuni</w:t>
      </w:r>
      <w:proofErr w:type="spellEnd"/>
      <w:r w:rsidR="007E2F82">
        <w:rPr>
          <w:rFonts w:ascii="Arial" w:hAnsi="Arial" w:cs="Arial"/>
        </w:rPr>
        <w:t xml:space="preserve"> has spread </w:t>
      </w:r>
      <w:r w:rsidR="003B1DB8">
        <w:rPr>
          <w:rFonts w:ascii="Arial" w:hAnsi="Arial" w:cs="Arial"/>
        </w:rPr>
        <w:t xml:space="preserve">so </w:t>
      </w:r>
      <w:r w:rsidR="007E2F82">
        <w:rPr>
          <w:rFonts w:ascii="Arial" w:hAnsi="Arial" w:cs="Arial"/>
        </w:rPr>
        <w:t xml:space="preserve">rapidly </w:t>
      </w:r>
      <w:r w:rsidR="003B1DB8">
        <w:rPr>
          <w:rFonts w:ascii="Arial" w:hAnsi="Arial" w:cs="Arial"/>
        </w:rPr>
        <w:t xml:space="preserve">in the last 10 years </w:t>
      </w:r>
      <w:r w:rsidR="007E2F82">
        <w:rPr>
          <w:rFonts w:ascii="Arial" w:hAnsi="Arial" w:cs="Arial"/>
        </w:rPr>
        <w:t xml:space="preserve">that it now occupies 80 % of the area planted to </w:t>
      </w:r>
      <w:proofErr w:type="spellStart"/>
      <w:r w:rsidR="007E2F82">
        <w:rPr>
          <w:rFonts w:ascii="Arial" w:hAnsi="Arial" w:cs="Arial"/>
        </w:rPr>
        <w:t>pigeonpea</w:t>
      </w:r>
      <w:proofErr w:type="spellEnd"/>
      <w:r w:rsidR="003B1DB8">
        <w:rPr>
          <w:rFonts w:ascii="Arial" w:hAnsi="Arial" w:cs="Arial"/>
        </w:rPr>
        <w:t xml:space="preserve">. </w:t>
      </w:r>
      <w:r w:rsidR="00B31060">
        <w:rPr>
          <w:rFonts w:ascii="Arial" w:hAnsi="Arial" w:cs="Arial"/>
        </w:rPr>
        <w:t>Being aware of th</w:t>
      </w:r>
      <w:r w:rsidR="00061FDC">
        <w:rPr>
          <w:rFonts w:ascii="Arial" w:hAnsi="Arial" w:cs="Arial"/>
        </w:rPr>
        <w:t xml:space="preserve">is </w:t>
      </w:r>
      <w:r w:rsidR="00B31060">
        <w:rPr>
          <w:rFonts w:ascii="Arial" w:hAnsi="Arial" w:cs="Arial"/>
        </w:rPr>
        <w:t xml:space="preserve">narrative </w:t>
      </w:r>
      <w:r w:rsidR="00061FDC">
        <w:rPr>
          <w:rFonts w:ascii="Arial" w:hAnsi="Arial" w:cs="Arial"/>
        </w:rPr>
        <w:t xml:space="preserve">and its limitations </w:t>
      </w:r>
      <w:r w:rsidR="00B31060">
        <w:rPr>
          <w:rFonts w:ascii="Arial" w:hAnsi="Arial" w:cs="Arial"/>
        </w:rPr>
        <w:t xml:space="preserve">can help </w:t>
      </w:r>
      <w:r w:rsidR="0018305E">
        <w:rPr>
          <w:rFonts w:ascii="Arial" w:hAnsi="Arial" w:cs="Arial"/>
        </w:rPr>
        <w:t>practi</w:t>
      </w:r>
      <w:r w:rsidR="00F13B9E">
        <w:rPr>
          <w:rFonts w:ascii="Arial" w:hAnsi="Arial" w:cs="Arial"/>
        </w:rPr>
        <w:t>t</w:t>
      </w:r>
      <w:r w:rsidR="0018305E">
        <w:rPr>
          <w:rFonts w:ascii="Arial" w:hAnsi="Arial" w:cs="Arial"/>
        </w:rPr>
        <w:t xml:space="preserve">ioners </w:t>
      </w:r>
      <w:r w:rsidR="00B31060">
        <w:rPr>
          <w:rFonts w:ascii="Arial" w:hAnsi="Arial" w:cs="Arial"/>
        </w:rPr>
        <w:t xml:space="preserve">avoid the trap of using the framework as a blueprint, but rather </w:t>
      </w:r>
      <w:r w:rsidR="00061FDC">
        <w:rPr>
          <w:rFonts w:ascii="Arial" w:hAnsi="Arial" w:cs="Arial"/>
        </w:rPr>
        <w:t xml:space="preserve">use it </w:t>
      </w:r>
      <w:r w:rsidR="00F13B9E">
        <w:rPr>
          <w:rFonts w:ascii="Arial" w:hAnsi="Arial" w:cs="Arial"/>
        </w:rPr>
        <w:t xml:space="preserve">to determine for which contexts – which farmers and which commodities – these assumptions are valid. </w:t>
      </w:r>
      <w:r w:rsidR="00FB72A6">
        <w:rPr>
          <w:rFonts w:ascii="Arial" w:hAnsi="Arial" w:cs="Arial"/>
        </w:rPr>
        <w:t xml:space="preserve">Again, this reinforces the value of the scaling framework as a </w:t>
      </w:r>
      <w:r w:rsidR="001627F0">
        <w:rPr>
          <w:rFonts w:ascii="Arial" w:hAnsi="Arial" w:cs="Arial"/>
        </w:rPr>
        <w:t>way of learning</w:t>
      </w:r>
      <w:r w:rsidR="0018305E">
        <w:rPr>
          <w:rFonts w:ascii="Arial" w:hAnsi="Arial" w:cs="Arial"/>
        </w:rPr>
        <w:t xml:space="preserve">, this time not about scaling methods but </w:t>
      </w:r>
      <w:r w:rsidR="001627F0">
        <w:rPr>
          <w:rFonts w:ascii="Arial" w:hAnsi="Arial" w:cs="Arial"/>
        </w:rPr>
        <w:t xml:space="preserve">about </w:t>
      </w:r>
      <w:r w:rsidR="00087E65">
        <w:rPr>
          <w:rFonts w:ascii="Arial" w:hAnsi="Arial" w:cs="Arial"/>
        </w:rPr>
        <w:t xml:space="preserve">the process of </w:t>
      </w:r>
      <w:r w:rsidR="001627F0">
        <w:rPr>
          <w:rFonts w:ascii="Arial" w:hAnsi="Arial" w:cs="Arial"/>
        </w:rPr>
        <w:t>scaling</w:t>
      </w:r>
      <w:r w:rsidR="0018305E">
        <w:rPr>
          <w:rFonts w:ascii="Arial" w:hAnsi="Arial" w:cs="Arial"/>
        </w:rPr>
        <w:t xml:space="preserve"> itself</w:t>
      </w:r>
      <w:r w:rsidR="001627F0">
        <w:rPr>
          <w:rFonts w:ascii="Arial" w:hAnsi="Arial" w:cs="Arial"/>
        </w:rPr>
        <w:t>.</w:t>
      </w:r>
    </w:p>
    <w:p w14:paraId="6BA99289" w14:textId="09AFCD3B" w:rsidR="00877CC0" w:rsidRDefault="00321EC2" w:rsidP="00442DBE">
      <w:pPr>
        <w:jc w:val="both"/>
        <w:rPr>
          <w:rFonts w:ascii="Arial" w:hAnsi="Arial" w:cs="Arial"/>
        </w:rPr>
      </w:pPr>
      <w:r>
        <w:rPr>
          <w:rFonts w:ascii="Arial" w:hAnsi="Arial" w:cs="Arial"/>
        </w:rPr>
        <w:t xml:space="preserve">One obvious gap in the scaling framework is the absence of any mention of </w:t>
      </w:r>
      <w:r w:rsidR="006A0D46">
        <w:rPr>
          <w:rFonts w:ascii="Arial" w:hAnsi="Arial" w:cs="Arial"/>
        </w:rPr>
        <w:t>social inclusion</w:t>
      </w:r>
      <w:r>
        <w:rPr>
          <w:rFonts w:ascii="Arial" w:hAnsi="Arial" w:cs="Arial"/>
        </w:rPr>
        <w:t xml:space="preserve">. </w:t>
      </w:r>
      <w:r w:rsidRPr="00321EC2">
        <w:rPr>
          <w:rFonts w:ascii="Arial" w:hAnsi="Arial" w:cs="Arial"/>
          <w:b/>
          <w:bCs/>
        </w:rPr>
        <w:t>Farmer Preferences</w:t>
      </w:r>
      <w:r>
        <w:rPr>
          <w:rFonts w:ascii="Arial" w:hAnsi="Arial" w:cs="Arial"/>
        </w:rPr>
        <w:t xml:space="preserve"> can mean farmers in general, while the </w:t>
      </w:r>
      <w:r w:rsidR="000A3044">
        <w:rPr>
          <w:rFonts w:ascii="Arial" w:hAnsi="Arial" w:cs="Arial"/>
        </w:rPr>
        <w:t>definition of preferences as</w:t>
      </w:r>
      <w:r>
        <w:rPr>
          <w:rFonts w:ascii="Arial" w:hAnsi="Arial" w:cs="Arial"/>
        </w:rPr>
        <w:t xml:space="preserve"> “attractive vis a </w:t>
      </w:r>
      <w:proofErr w:type="gramStart"/>
      <w:r>
        <w:rPr>
          <w:rFonts w:ascii="Arial" w:hAnsi="Arial" w:cs="Arial"/>
        </w:rPr>
        <w:t>vis alternatives</w:t>
      </w:r>
      <w:proofErr w:type="gramEnd"/>
      <w:r>
        <w:rPr>
          <w:rFonts w:ascii="Arial" w:hAnsi="Arial" w:cs="Arial"/>
        </w:rPr>
        <w:t xml:space="preserve"> [and] perceived benefits against cost/risks” does not specify </w:t>
      </w:r>
      <w:r w:rsidR="000A3044">
        <w:rPr>
          <w:rFonts w:ascii="Arial" w:hAnsi="Arial" w:cs="Arial"/>
        </w:rPr>
        <w:t xml:space="preserve">to whom the new technology is </w:t>
      </w:r>
      <w:r>
        <w:rPr>
          <w:rFonts w:ascii="Arial" w:hAnsi="Arial" w:cs="Arial"/>
        </w:rPr>
        <w:t xml:space="preserve">attractive or </w:t>
      </w:r>
      <w:r w:rsidR="000A3044">
        <w:rPr>
          <w:rFonts w:ascii="Arial" w:hAnsi="Arial" w:cs="Arial"/>
        </w:rPr>
        <w:t xml:space="preserve">acknowledge </w:t>
      </w:r>
      <w:r>
        <w:rPr>
          <w:rFonts w:ascii="Arial" w:hAnsi="Arial" w:cs="Arial"/>
        </w:rPr>
        <w:t xml:space="preserve">that costs/risks </w:t>
      </w:r>
      <w:r w:rsidR="003B1DB8">
        <w:rPr>
          <w:rFonts w:ascii="Arial" w:hAnsi="Arial" w:cs="Arial"/>
        </w:rPr>
        <w:t xml:space="preserve">may </w:t>
      </w:r>
      <w:r>
        <w:rPr>
          <w:rFonts w:ascii="Arial" w:hAnsi="Arial" w:cs="Arial"/>
        </w:rPr>
        <w:t xml:space="preserve">vary for different </w:t>
      </w:r>
      <w:r w:rsidR="000A3044">
        <w:rPr>
          <w:rFonts w:ascii="Arial" w:hAnsi="Arial" w:cs="Arial"/>
        </w:rPr>
        <w:t xml:space="preserve">types of farmer. </w:t>
      </w:r>
      <w:r>
        <w:rPr>
          <w:rFonts w:ascii="Arial" w:hAnsi="Arial" w:cs="Arial"/>
        </w:rPr>
        <w:t xml:space="preserve">These distinctions are </w:t>
      </w:r>
      <w:r w:rsidR="00E92541">
        <w:rPr>
          <w:rFonts w:ascii="Arial" w:hAnsi="Arial" w:cs="Arial"/>
        </w:rPr>
        <w:t xml:space="preserve">left </w:t>
      </w:r>
      <w:r>
        <w:rPr>
          <w:rFonts w:ascii="Arial" w:hAnsi="Arial" w:cs="Arial"/>
        </w:rPr>
        <w:t>implicit.</w:t>
      </w:r>
      <w:r w:rsidR="00E92541">
        <w:rPr>
          <w:rFonts w:ascii="Arial" w:hAnsi="Arial" w:cs="Arial"/>
        </w:rPr>
        <w:t xml:space="preserve"> This </w:t>
      </w:r>
      <w:r w:rsidR="008D4FC4">
        <w:rPr>
          <w:rFonts w:ascii="Arial" w:hAnsi="Arial" w:cs="Arial"/>
        </w:rPr>
        <w:t xml:space="preserve">shorthand device </w:t>
      </w:r>
      <w:r w:rsidR="00E92541">
        <w:rPr>
          <w:rFonts w:ascii="Arial" w:hAnsi="Arial" w:cs="Arial"/>
        </w:rPr>
        <w:t xml:space="preserve">may be legitimate </w:t>
      </w:r>
      <w:r w:rsidR="008D4FC4">
        <w:rPr>
          <w:rFonts w:ascii="Arial" w:hAnsi="Arial" w:cs="Arial"/>
        </w:rPr>
        <w:t xml:space="preserve">where </w:t>
      </w:r>
      <w:r w:rsidR="00E92541">
        <w:rPr>
          <w:rFonts w:ascii="Arial" w:hAnsi="Arial" w:cs="Arial"/>
        </w:rPr>
        <w:t xml:space="preserve">projects are careful to specify </w:t>
      </w:r>
      <w:r w:rsidR="008D4FC4">
        <w:rPr>
          <w:rFonts w:ascii="Arial" w:hAnsi="Arial" w:cs="Arial"/>
        </w:rPr>
        <w:t>their target group as resource-poor farmers</w:t>
      </w:r>
      <w:r w:rsidR="001627F0">
        <w:rPr>
          <w:rFonts w:ascii="Arial" w:hAnsi="Arial" w:cs="Arial"/>
        </w:rPr>
        <w:t xml:space="preserve">, but it </w:t>
      </w:r>
      <w:r w:rsidR="008D4FC4">
        <w:rPr>
          <w:rFonts w:ascii="Arial" w:hAnsi="Arial" w:cs="Arial"/>
        </w:rPr>
        <w:t xml:space="preserve">is </w:t>
      </w:r>
      <w:r w:rsidR="00FC2FC0">
        <w:rPr>
          <w:rFonts w:ascii="Arial" w:hAnsi="Arial" w:cs="Arial"/>
        </w:rPr>
        <w:t xml:space="preserve">more </w:t>
      </w:r>
      <w:r w:rsidR="008D4FC4">
        <w:rPr>
          <w:rFonts w:ascii="Arial" w:hAnsi="Arial" w:cs="Arial"/>
        </w:rPr>
        <w:t>problematic for gender equity.</w:t>
      </w:r>
      <w:r w:rsidR="00D43BC5">
        <w:rPr>
          <w:rFonts w:ascii="Arial" w:hAnsi="Arial" w:cs="Arial"/>
        </w:rPr>
        <w:t xml:space="preserve"> </w:t>
      </w:r>
    </w:p>
    <w:p w14:paraId="7FEF911B" w14:textId="354240D3" w:rsidR="003B1DB8" w:rsidRDefault="00D43BC5" w:rsidP="00254B90">
      <w:pPr>
        <w:jc w:val="both"/>
        <w:rPr>
          <w:rFonts w:ascii="Arial" w:hAnsi="Arial" w:cs="Arial"/>
        </w:rPr>
      </w:pPr>
      <w:r>
        <w:rPr>
          <w:rFonts w:ascii="Arial" w:hAnsi="Arial" w:cs="Arial"/>
        </w:rPr>
        <w:t xml:space="preserve">In its present form, the scaling framework effectively renders women invisible. Yet gender equity </w:t>
      </w:r>
      <w:r w:rsidR="00A24ED7">
        <w:rPr>
          <w:rFonts w:ascii="Arial" w:hAnsi="Arial" w:cs="Arial"/>
        </w:rPr>
        <w:t xml:space="preserve">is particularly </w:t>
      </w:r>
      <w:r w:rsidR="00376973">
        <w:rPr>
          <w:rFonts w:ascii="Arial" w:hAnsi="Arial" w:cs="Arial"/>
        </w:rPr>
        <w:t xml:space="preserve">relevant for the GLDC program, </w:t>
      </w:r>
      <w:r w:rsidR="00A24ED7">
        <w:rPr>
          <w:rFonts w:ascii="Arial" w:hAnsi="Arial" w:cs="Arial"/>
        </w:rPr>
        <w:t xml:space="preserve">for two reasons. First, </w:t>
      </w:r>
      <w:r w:rsidR="00376973">
        <w:rPr>
          <w:rFonts w:ascii="Arial" w:hAnsi="Arial" w:cs="Arial"/>
        </w:rPr>
        <w:t xml:space="preserve">dryland cereals and grain legumes are widely regarded as ‘women’s </w:t>
      </w:r>
      <w:proofErr w:type="gramStart"/>
      <w:r w:rsidR="00376973">
        <w:rPr>
          <w:rFonts w:ascii="Arial" w:hAnsi="Arial" w:cs="Arial"/>
        </w:rPr>
        <w:t>crops’</w:t>
      </w:r>
      <w:proofErr w:type="gramEnd"/>
      <w:r w:rsidR="00A24ED7">
        <w:rPr>
          <w:rFonts w:ascii="Arial" w:hAnsi="Arial" w:cs="Arial"/>
        </w:rPr>
        <w:t xml:space="preserve">. </w:t>
      </w:r>
      <w:r w:rsidR="000A3044">
        <w:rPr>
          <w:rFonts w:ascii="Arial" w:hAnsi="Arial" w:cs="Arial"/>
        </w:rPr>
        <w:t xml:space="preserve">Consequently, </w:t>
      </w:r>
      <w:r w:rsidR="003B1DB8">
        <w:rPr>
          <w:rFonts w:ascii="Arial" w:hAnsi="Arial" w:cs="Arial"/>
        </w:rPr>
        <w:t xml:space="preserve">if </w:t>
      </w:r>
      <w:r w:rsidR="000A3044">
        <w:rPr>
          <w:rFonts w:ascii="Arial" w:hAnsi="Arial" w:cs="Arial"/>
        </w:rPr>
        <w:t xml:space="preserve">improved varieties </w:t>
      </w:r>
      <w:r w:rsidR="003B1DB8">
        <w:rPr>
          <w:rFonts w:ascii="Arial" w:hAnsi="Arial" w:cs="Arial"/>
        </w:rPr>
        <w:t xml:space="preserve">are to be adopted at </w:t>
      </w:r>
      <w:proofErr w:type="gramStart"/>
      <w:r w:rsidR="003B1DB8">
        <w:rPr>
          <w:rFonts w:ascii="Arial" w:hAnsi="Arial" w:cs="Arial"/>
        </w:rPr>
        <w:t>scale</w:t>
      </w:r>
      <w:proofErr w:type="gramEnd"/>
      <w:r w:rsidR="003B1DB8">
        <w:rPr>
          <w:rFonts w:ascii="Arial" w:hAnsi="Arial" w:cs="Arial"/>
        </w:rPr>
        <w:t xml:space="preserve"> they </w:t>
      </w:r>
      <w:r w:rsidR="000A3044">
        <w:rPr>
          <w:rFonts w:ascii="Arial" w:hAnsi="Arial" w:cs="Arial"/>
        </w:rPr>
        <w:t>must take account of women’s trait preferences</w:t>
      </w:r>
      <w:r w:rsidR="003B1DB8">
        <w:rPr>
          <w:rFonts w:ascii="Arial" w:hAnsi="Arial" w:cs="Arial"/>
        </w:rPr>
        <w:t>.</w:t>
      </w:r>
      <w:r w:rsidR="001D506B">
        <w:rPr>
          <w:rFonts w:ascii="Arial" w:hAnsi="Arial" w:cs="Arial"/>
        </w:rPr>
        <w:t xml:space="preserve"> </w:t>
      </w:r>
      <w:r w:rsidR="003B1DB8">
        <w:rPr>
          <w:rFonts w:ascii="Arial" w:hAnsi="Arial" w:cs="Arial"/>
        </w:rPr>
        <w:t xml:space="preserve">The </w:t>
      </w:r>
      <w:r w:rsidR="001D506B">
        <w:rPr>
          <w:rFonts w:ascii="Arial" w:hAnsi="Arial" w:cs="Arial"/>
        </w:rPr>
        <w:t>TL III project</w:t>
      </w:r>
      <w:r w:rsidR="003B1DB8">
        <w:rPr>
          <w:rFonts w:ascii="Arial" w:hAnsi="Arial" w:cs="Arial"/>
        </w:rPr>
        <w:t xml:space="preserve"> r</w:t>
      </w:r>
      <w:r w:rsidR="00DF22A3">
        <w:rPr>
          <w:rFonts w:ascii="Arial" w:hAnsi="Arial" w:cs="Arial"/>
        </w:rPr>
        <w:t>ecognises that successful scaling depends on “empowering women take greater advantage of new technology” (ICRISAT</w:t>
      </w:r>
      <w:r w:rsidR="002F1E38">
        <w:rPr>
          <w:rFonts w:ascii="Arial" w:hAnsi="Arial" w:cs="Arial"/>
        </w:rPr>
        <w:t>,</w:t>
      </w:r>
      <w:r w:rsidR="0073356B">
        <w:rPr>
          <w:rFonts w:ascii="Arial" w:hAnsi="Arial" w:cs="Arial"/>
        </w:rPr>
        <w:t xml:space="preserve"> </w:t>
      </w:r>
      <w:r w:rsidR="00DF22A3">
        <w:rPr>
          <w:rFonts w:ascii="Arial" w:hAnsi="Arial" w:cs="Arial"/>
        </w:rPr>
        <w:t>2016</w:t>
      </w:r>
      <w:r w:rsidR="0073356B">
        <w:rPr>
          <w:rFonts w:ascii="Arial" w:hAnsi="Arial" w:cs="Arial"/>
        </w:rPr>
        <w:t xml:space="preserve">, pp. </w:t>
      </w:r>
      <w:r w:rsidR="00DF22A3">
        <w:rPr>
          <w:rFonts w:ascii="Arial" w:hAnsi="Arial" w:cs="Arial"/>
        </w:rPr>
        <w:t>8,12).</w:t>
      </w:r>
      <w:r w:rsidR="00F054FE">
        <w:rPr>
          <w:rFonts w:ascii="Arial" w:hAnsi="Arial" w:cs="Arial"/>
        </w:rPr>
        <w:t xml:space="preserve"> </w:t>
      </w:r>
      <w:r w:rsidR="00A24ED7">
        <w:rPr>
          <w:rFonts w:ascii="Arial" w:hAnsi="Arial" w:cs="Arial"/>
        </w:rPr>
        <w:t xml:space="preserve">Second, commercialisation </w:t>
      </w:r>
      <w:r w:rsidR="00D53F52">
        <w:rPr>
          <w:rFonts w:ascii="Arial" w:hAnsi="Arial" w:cs="Arial"/>
        </w:rPr>
        <w:t>may dis</w:t>
      </w:r>
      <w:r w:rsidR="001D506B">
        <w:rPr>
          <w:rFonts w:ascii="Arial" w:hAnsi="Arial" w:cs="Arial"/>
        </w:rPr>
        <w:t xml:space="preserve">empower </w:t>
      </w:r>
      <w:r w:rsidR="00D53F52">
        <w:rPr>
          <w:rFonts w:ascii="Arial" w:hAnsi="Arial" w:cs="Arial"/>
        </w:rPr>
        <w:t xml:space="preserve">women if men </w:t>
      </w:r>
      <w:r w:rsidR="00B9754F">
        <w:rPr>
          <w:rFonts w:ascii="Arial" w:hAnsi="Arial" w:cs="Arial"/>
        </w:rPr>
        <w:t xml:space="preserve">take </w:t>
      </w:r>
      <w:r w:rsidR="00D53F52">
        <w:rPr>
          <w:rFonts w:ascii="Arial" w:hAnsi="Arial" w:cs="Arial"/>
        </w:rPr>
        <w:t xml:space="preserve">control of the income from market sales. </w:t>
      </w:r>
      <w:r w:rsidR="00442DBE">
        <w:rPr>
          <w:rFonts w:ascii="Arial" w:hAnsi="Arial" w:cs="Arial"/>
        </w:rPr>
        <w:t>As dairying is commercialised</w:t>
      </w:r>
      <w:r w:rsidR="003B1DB8">
        <w:rPr>
          <w:rFonts w:ascii="Arial" w:hAnsi="Arial" w:cs="Arial"/>
        </w:rPr>
        <w:t xml:space="preserve">, for example, </w:t>
      </w:r>
      <w:r w:rsidR="00442DBE">
        <w:rPr>
          <w:rFonts w:ascii="Arial" w:hAnsi="Arial" w:cs="Arial"/>
        </w:rPr>
        <w:t>“there is a risk for women to lose control … as men have the means (transport, identity card) to put their names on the supply card of formal milk collection centres thus giving them control over dairy income” (ILRI, 201</w:t>
      </w:r>
      <w:r w:rsidR="0073356B">
        <w:rPr>
          <w:rFonts w:ascii="Arial" w:hAnsi="Arial" w:cs="Arial"/>
        </w:rPr>
        <w:t>6, p.</w:t>
      </w:r>
      <w:r w:rsidR="00442DBE">
        <w:rPr>
          <w:rFonts w:ascii="Arial" w:hAnsi="Arial" w:cs="Arial"/>
        </w:rPr>
        <w:t xml:space="preserve"> 74).</w:t>
      </w:r>
      <w:r w:rsidR="00781514">
        <w:rPr>
          <w:rFonts w:ascii="Arial" w:hAnsi="Arial" w:cs="Arial"/>
        </w:rPr>
        <w:t xml:space="preserve"> </w:t>
      </w:r>
      <w:r w:rsidR="0064592F">
        <w:rPr>
          <w:rFonts w:ascii="Arial" w:hAnsi="Arial" w:cs="Arial"/>
        </w:rPr>
        <w:t>Coupled with the fact that a larger share of extra milk production is sold, commercialisation may have a negative impact on household nutrition (ILRI, 201</w:t>
      </w:r>
      <w:r w:rsidR="0073356B">
        <w:rPr>
          <w:rFonts w:ascii="Arial" w:hAnsi="Arial" w:cs="Arial"/>
        </w:rPr>
        <w:t xml:space="preserve">6, p. </w:t>
      </w:r>
      <w:r w:rsidR="0064592F">
        <w:rPr>
          <w:rFonts w:ascii="Arial" w:hAnsi="Arial" w:cs="Arial"/>
        </w:rPr>
        <w:t xml:space="preserve">75). </w:t>
      </w:r>
      <w:r w:rsidR="00781514">
        <w:rPr>
          <w:rFonts w:ascii="Arial" w:hAnsi="Arial" w:cs="Arial"/>
        </w:rPr>
        <w:t>As a result, women with dairy cows may prefer not to adopt new technology that leaves them worse off than before (</w:t>
      </w:r>
      <w:proofErr w:type="spellStart"/>
      <w:r w:rsidR="00781514">
        <w:rPr>
          <w:rFonts w:ascii="Arial" w:hAnsi="Arial" w:cs="Arial"/>
        </w:rPr>
        <w:t>Lenjiso</w:t>
      </w:r>
      <w:proofErr w:type="spellEnd"/>
      <w:r w:rsidR="00781514">
        <w:rPr>
          <w:rFonts w:ascii="Arial" w:hAnsi="Arial" w:cs="Arial"/>
        </w:rPr>
        <w:t xml:space="preserve"> et. al., 201</w:t>
      </w:r>
      <w:r w:rsidR="0073356B">
        <w:rPr>
          <w:rFonts w:ascii="Arial" w:hAnsi="Arial" w:cs="Arial"/>
        </w:rPr>
        <w:t>6</w:t>
      </w:r>
      <w:r w:rsidR="00781514">
        <w:rPr>
          <w:rFonts w:ascii="Arial" w:hAnsi="Arial" w:cs="Arial"/>
        </w:rPr>
        <w:t xml:space="preserve">). </w:t>
      </w:r>
      <w:r>
        <w:rPr>
          <w:rFonts w:ascii="Arial" w:hAnsi="Arial" w:cs="Arial"/>
        </w:rPr>
        <w:t xml:space="preserve">While the lack of explicit attention to women </w:t>
      </w:r>
      <w:r w:rsidR="003B1DB8">
        <w:rPr>
          <w:rFonts w:ascii="Arial" w:hAnsi="Arial" w:cs="Arial"/>
        </w:rPr>
        <w:t xml:space="preserve">in the framework </w:t>
      </w:r>
      <w:r w:rsidR="00251B37">
        <w:rPr>
          <w:rFonts w:ascii="Arial" w:hAnsi="Arial" w:cs="Arial"/>
        </w:rPr>
        <w:t xml:space="preserve">is not deliberate, it </w:t>
      </w:r>
      <w:r w:rsidR="005E6FFB">
        <w:rPr>
          <w:rFonts w:ascii="Arial" w:hAnsi="Arial" w:cs="Arial"/>
        </w:rPr>
        <w:t>is a serious gap</w:t>
      </w:r>
      <w:r w:rsidR="003B1DB8">
        <w:rPr>
          <w:rFonts w:ascii="Arial" w:hAnsi="Arial" w:cs="Arial"/>
        </w:rPr>
        <w:t>.</w:t>
      </w:r>
    </w:p>
    <w:p w14:paraId="2F0B8CE3" w14:textId="644B7A8A" w:rsidR="0052712A" w:rsidRDefault="00254B90" w:rsidP="00254B90">
      <w:pPr>
        <w:jc w:val="both"/>
        <w:rPr>
          <w:rFonts w:ascii="Arial" w:hAnsi="Arial" w:cs="Arial"/>
        </w:rPr>
      </w:pPr>
      <w:r>
        <w:rPr>
          <w:rFonts w:ascii="Arial" w:hAnsi="Arial" w:cs="Arial"/>
        </w:rPr>
        <w:t>Another component of scaling that is not mentioned explicitly in the scaling framework is partnerships. Th</w:t>
      </w:r>
      <w:r w:rsidR="00C26C26">
        <w:rPr>
          <w:rFonts w:ascii="Arial" w:hAnsi="Arial" w:cs="Arial"/>
        </w:rPr>
        <w:t xml:space="preserve">ey are not </w:t>
      </w:r>
      <w:r>
        <w:rPr>
          <w:rFonts w:ascii="Arial" w:hAnsi="Arial" w:cs="Arial"/>
        </w:rPr>
        <w:t xml:space="preserve">ignored, but </w:t>
      </w:r>
      <w:r w:rsidR="00C26C26">
        <w:rPr>
          <w:rFonts w:ascii="Arial" w:hAnsi="Arial" w:cs="Arial"/>
        </w:rPr>
        <w:t xml:space="preserve">they </w:t>
      </w:r>
      <w:r>
        <w:rPr>
          <w:rFonts w:ascii="Arial" w:hAnsi="Arial" w:cs="Arial"/>
        </w:rPr>
        <w:t xml:space="preserve">are subsumed in </w:t>
      </w:r>
      <w:r w:rsidRPr="006A0D46">
        <w:rPr>
          <w:rFonts w:ascii="Arial" w:hAnsi="Arial" w:cs="Arial"/>
          <w:b/>
          <w:bCs/>
        </w:rPr>
        <w:t>VC Actor Coordination</w:t>
      </w:r>
      <w:r>
        <w:rPr>
          <w:rFonts w:ascii="Arial" w:hAnsi="Arial" w:cs="Arial"/>
          <w:b/>
          <w:bCs/>
        </w:rPr>
        <w:t xml:space="preserve">, </w:t>
      </w:r>
      <w:r w:rsidRPr="00AE4976">
        <w:rPr>
          <w:rFonts w:ascii="Arial" w:hAnsi="Arial" w:cs="Arial"/>
        </w:rPr>
        <w:t>which includes</w:t>
      </w:r>
      <w:r>
        <w:rPr>
          <w:rFonts w:ascii="Arial" w:hAnsi="Arial" w:cs="Arial"/>
          <w:b/>
          <w:bCs/>
        </w:rPr>
        <w:t xml:space="preserve"> </w:t>
      </w:r>
      <w:r w:rsidRPr="00EB11C6">
        <w:rPr>
          <w:rFonts w:ascii="Arial" w:hAnsi="Arial" w:cs="Arial"/>
        </w:rPr>
        <w:t>“multi-stakeholder planning and troubleshooting”</w:t>
      </w:r>
      <w:r>
        <w:rPr>
          <w:rFonts w:ascii="Arial" w:hAnsi="Arial" w:cs="Arial"/>
        </w:rPr>
        <w:t xml:space="preserve"> (Figure 1).</w:t>
      </w:r>
      <w:r w:rsidR="00B50FBD">
        <w:rPr>
          <w:rStyle w:val="FootnoteReference"/>
          <w:rFonts w:ascii="Arial" w:hAnsi="Arial" w:cs="Arial"/>
        </w:rPr>
        <w:footnoteReference w:id="4"/>
      </w:r>
      <w:r>
        <w:rPr>
          <w:rFonts w:ascii="Arial" w:hAnsi="Arial" w:cs="Arial"/>
        </w:rPr>
        <w:t xml:space="preserve"> But partnerships </w:t>
      </w:r>
      <w:r w:rsidR="0052712A">
        <w:rPr>
          <w:rFonts w:ascii="Arial" w:hAnsi="Arial" w:cs="Arial"/>
        </w:rPr>
        <w:t xml:space="preserve">cannot be confined to a single component. They are also </w:t>
      </w:r>
      <w:r>
        <w:rPr>
          <w:rFonts w:ascii="Arial" w:hAnsi="Arial" w:cs="Arial"/>
        </w:rPr>
        <w:t xml:space="preserve">essential for </w:t>
      </w:r>
      <w:r w:rsidRPr="002E6FFF">
        <w:rPr>
          <w:rFonts w:ascii="Arial" w:hAnsi="Arial" w:cs="Arial"/>
          <w:b/>
          <w:bCs/>
        </w:rPr>
        <w:t>Policy &amp; Institutions</w:t>
      </w:r>
      <w:r>
        <w:rPr>
          <w:rFonts w:ascii="Arial" w:hAnsi="Arial" w:cs="Arial"/>
          <w:b/>
          <w:bCs/>
        </w:rPr>
        <w:t xml:space="preserve"> </w:t>
      </w:r>
      <w:r w:rsidRPr="00AE4976">
        <w:rPr>
          <w:rFonts w:ascii="Arial" w:hAnsi="Arial" w:cs="Arial"/>
        </w:rPr>
        <w:t>(“supporting institutions”),</w:t>
      </w:r>
      <w:r>
        <w:rPr>
          <w:rFonts w:ascii="Arial" w:hAnsi="Arial" w:cs="Arial"/>
        </w:rPr>
        <w:t xml:space="preserve"> </w:t>
      </w:r>
      <w:r w:rsidRPr="002E6FFF">
        <w:rPr>
          <w:rFonts w:ascii="Arial" w:hAnsi="Arial" w:cs="Arial"/>
          <w:b/>
          <w:bCs/>
        </w:rPr>
        <w:t>Accessibility</w:t>
      </w:r>
      <w:r>
        <w:rPr>
          <w:rFonts w:ascii="Arial" w:hAnsi="Arial" w:cs="Arial"/>
          <w:b/>
          <w:bCs/>
        </w:rPr>
        <w:t xml:space="preserve"> </w:t>
      </w:r>
      <w:r w:rsidRPr="00AE4976">
        <w:rPr>
          <w:rFonts w:ascii="Arial" w:hAnsi="Arial" w:cs="Arial"/>
        </w:rPr>
        <w:t>(“availability of inputs and complementary services”)</w:t>
      </w:r>
      <w:r>
        <w:rPr>
          <w:rFonts w:ascii="Arial" w:hAnsi="Arial" w:cs="Arial"/>
        </w:rPr>
        <w:t xml:space="preserve">, </w:t>
      </w:r>
      <w:r w:rsidRPr="002E6FFF">
        <w:rPr>
          <w:rFonts w:ascii="Arial" w:hAnsi="Arial" w:cs="Arial"/>
          <w:b/>
          <w:bCs/>
        </w:rPr>
        <w:t>Awareness and Ability</w:t>
      </w:r>
      <w:r>
        <w:rPr>
          <w:rFonts w:ascii="Arial" w:hAnsi="Arial" w:cs="Arial"/>
          <w:b/>
          <w:bCs/>
        </w:rPr>
        <w:t xml:space="preserve"> </w:t>
      </w:r>
      <w:r w:rsidRPr="00AE4976">
        <w:rPr>
          <w:rFonts w:ascii="Arial" w:hAnsi="Arial" w:cs="Arial"/>
        </w:rPr>
        <w:t>(“knowledge and skills for optimal performance”)</w:t>
      </w:r>
      <w:r w:rsidR="007806D8">
        <w:rPr>
          <w:rFonts w:ascii="Arial" w:hAnsi="Arial" w:cs="Arial"/>
        </w:rPr>
        <w:t xml:space="preserve">, and for </w:t>
      </w:r>
      <w:r w:rsidR="007806D8" w:rsidRPr="007806D8">
        <w:rPr>
          <w:rFonts w:ascii="Arial" w:hAnsi="Arial" w:cs="Arial"/>
          <w:b/>
          <w:bCs/>
        </w:rPr>
        <w:t>Upstream Research</w:t>
      </w:r>
      <w:r w:rsidR="007806D8">
        <w:rPr>
          <w:rFonts w:ascii="Arial" w:hAnsi="Arial" w:cs="Arial"/>
        </w:rPr>
        <w:t xml:space="preserve"> using advanced genomics</w:t>
      </w:r>
      <w:r w:rsidRPr="00AE4976">
        <w:rPr>
          <w:rFonts w:ascii="Arial" w:hAnsi="Arial" w:cs="Arial"/>
        </w:rPr>
        <w:t>.</w:t>
      </w:r>
      <w:r>
        <w:rPr>
          <w:rFonts w:ascii="Arial" w:hAnsi="Arial" w:cs="Arial"/>
        </w:rPr>
        <w:t xml:space="preserve"> </w:t>
      </w:r>
      <w:r w:rsidR="0052712A">
        <w:rPr>
          <w:rFonts w:ascii="Arial" w:hAnsi="Arial" w:cs="Arial"/>
        </w:rPr>
        <w:t xml:space="preserve">Indeed, partnerships are the glue that keeps </w:t>
      </w:r>
      <w:r w:rsidR="001E0AE7">
        <w:rPr>
          <w:rFonts w:ascii="Arial" w:hAnsi="Arial" w:cs="Arial"/>
        </w:rPr>
        <w:t xml:space="preserve">all seven components of the </w:t>
      </w:r>
      <w:r w:rsidR="00460C0E">
        <w:rPr>
          <w:rFonts w:ascii="Arial" w:hAnsi="Arial" w:cs="Arial"/>
        </w:rPr>
        <w:t xml:space="preserve">scaling </w:t>
      </w:r>
      <w:r w:rsidR="0052712A">
        <w:rPr>
          <w:rFonts w:ascii="Arial" w:hAnsi="Arial" w:cs="Arial"/>
        </w:rPr>
        <w:t xml:space="preserve">framework together. </w:t>
      </w:r>
      <w:r w:rsidR="00983C21">
        <w:rPr>
          <w:rFonts w:ascii="Arial" w:hAnsi="Arial" w:cs="Arial"/>
        </w:rPr>
        <w:t>No glue, no framework.</w:t>
      </w:r>
    </w:p>
    <w:p w14:paraId="1569AA45" w14:textId="270EA4F1" w:rsidR="00460C0E" w:rsidRDefault="0052712A" w:rsidP="008276EF">
      <w:pPr>
        <w:pStyle w:val="Footer"/>
        <w:jc w:val="both"/>
        <w:rPr>
          <w:rFonts w:ascii="Arial" w:hAnsi="Arial" w:cs="Arial"/>
        </w:rPr>
      </w:pPr>
      <w:r>
        <w:rPr>
          <w:rFonts w:ascii="Arial" w:hAnsi="Arial" w:cs="Arial"/>
        </w:rPr>
        <w:lastRenderedPageBreak/>
        <w:t>Scaling new technology for smallholder farmers requires a specific type of partnership</w:t>
      </w:r>
      <w:r w:rsidR="008F25F6">
        <w:rPr>
          <w:rFonts w:ascii="Arial" w:hAnsi="Arial" w:cs="Arial"/>
        </w:rPr>
        <w:t xml:space="preserve"> which </w:t>
      </w:r>
      <w:r w:rsidR="00402365">
        <w:rPr>
          <w:rFonts w:ascii="Arial" w:hAnsi="Arial" w:cs="Arial"/>
        </w:rPr>
        <w:t>entail</w:t>
      </w:r>
      <w:r w:rsidR="00ED6E42">
        <w:rPr>
          <w:rFonts w:ascii="Arial" w:hAnsi="Arial" w:cs="Arial"/>
        </w:rPr>
        <w:t>s</w:t>
      </w:r>
      <w:r w:rsidR="00402365">
        <w:rPr>
          <w:rFonts w:ascii="Arial" w:hAnsi="Arial" w:cs="Arial"/>
        </w:rPr>
        <w:t xml:space="preserve"> cooperation between the public and private sectors.</w:t>
      </w:r>
      <w:r w:rsidR="008276EF">
        <w:rPr>
          <w:rFonts w:ascii="Arial" w:hAnsi="Arial" w:cs="Arial"/>
        </w:rPr>
        <w:t xml:space="preserve"> Since the focus of the four projects was on seed delivery, the </w:t>
      </w:r>
      <w:r w:rsidR="001642D1">
        <w:rPr>
          <w:rFonts w:ascii="Arial" w:hAnsi="Arial" w:cs="Arial"/>
        </w:rPr>
        <w:t xml:space="preserve">component </w:t>
      </w:r>
      <w:r w:rsidR="008276EF" w:rsidRPr="00C26C26">
        <w:rPr>
          <w:rFonts w:ascii="Arial" w:hAnsi="Arial" w:cs="Arial"/>
          <w:b/>
          <w:bCs/>
        </w:rPr>
        <w:t xml:space="preserve">VC </w:t>
      </w:r>
      <w:r w:rsidR="008276EF">
        <w:rPr>
          <w:rFonts w:ascii="Arial" w:hAnsi="Arial" w:cs="Arial"/>
          <w:b/>
          <w:bCs/>
        </w:rPr>
        <w:t>A</w:t>
      </w:r>
      <w:r w:rsidR="008276EF" w:rsidRPr="00C26C26">
        <w:rPr>
          <w:rFonts w:ascii="Arial" w:hAnsi="Arial" w:cs="Arial"/>
          <w:b/>
          <w:bCs/>
        </w:rPr>
        <w:t>ctor</w:t>
      </w:r>
      <w:r w:rsidR="008276EF">
        <w:rPr>
          <w:rFonts w:ascii="Arial" w:hAnsi="Arial" w:cs="Arial"/>
        </w:rPr>
        <w:t xml:space="preserve"> C</w:t>
      </w:r>
      <w:r w:rsidR="008276EF" w:rsidRPr="005C54CF">
        <w:rPr>
          <w:rFonts w:ascii="Arial" w:hAnsi="Arial" w:cs="Arial"/>
          <w:b/>
          <w:bCs/>
        </w:rPr>
        <w:t xml:space="preserve">oordination </w:t>
      </w:r>
      <w:r w:rsidR="008276EF">
        <w:rPr>
          <w:rFonts w:ascii="Arial" w:hAnsi="Arial" w:cs="Arial"/>
        </w:rPr>
        <w:t xml:space="preserve">refers primarily to the value chain for certified seed. </w:t>
      </w:r>
      <w:r w:rsidR="008F25F6">
        <w:rPr>
          <w:rFonts w:ascii="Arial" w:hAnsi="Arial" w:cs="Arial"/>
        </w:rPr>
        <w:t xml:space="preserve">Two kinds of partnership are relevant for seed delivery. One links national breeding programs to commercial breeding companies, while the second links them to seed delivery by </w:t>
      </w:r>
      <w:r w:rsidR="007806D8">
        <w:rPr>
          <w:rFonts w:ascii="Arial" w:hAnsi="Arial" w:cs="Arial"/>
        </w:rPr>
        <w:t xml:space="preserve">private companies and </w:t>
      </w:r>
      <w:proofErr w:type="spellStart"/>
      <w:r w:rsidR="007806D8">
        <w:rPr>
          <w:rFonts w:ascii="Arial" w:hAnsi="Arial" w:cs="Arial"/>
        </w:rPr>
        <w:t>agro</w:t>
      </w:r>
      <w:proofErr w:type="spellEnd"/>
      <w:r w:rsidR="007806D8">
        <w:rPr>
          <w:rFonts w:ascii="Arial" w:hAnsi="Arial" w:cs="Arial"/>
        </w:rPr>
        <w:t xml:space="preserve">-dealers. </w:t>
      </w:r>
      <w:r w:rsidR="00460C0E">
        <w:rPr>
          <w:rFonts w:ascii="Arial" w:hAnsi="Arial" w:cs="Arial"/>
        </w:rPr>
        <w:t xml:space="preserve">Both types of partnership </w:t>
      </w:r>
      <w:r w:rsidR="00ED6E42">
        <w:rPr>
          <w:rFonts w:ascii="Arial" w:hAnsi="Arial" w:cs="Arial"/>
        </w:rPr>
        <w:t>were</w:t>
      </w:r>
      <w:r w:rsidR="00460C0E">
        <w:rPr>
          <w:rFonts w:ascii="Arial" w:hAnsi="Arial" w:cs="Arial"/>
        </w:rPr>
        <w:t xml:space="preserve"> found in the four case study projects. </w:t>
      </w:r>
      <w:r w:rsidR="00460C0E" w:rsidRPr="007806D8">
        <w:rPr>
          <w:rFonts w:ascii="Arial" w:hAnsi="Arial" w:cs="Arial"/>
          <w:b/>
          <w:bCs/>
        </w:rPr>
        <w:t>Upstream Research</w:t>
      </w:r>
      <w:r w:rsidR="00460C0E">
        <w:rPr>
          <w:rFonts w:ascii="Arial" w:hAnsi="Arial" w:cs="Arial"/>
        </w:rPr>
        <w:t xml:space="preserve"> in TL III and HOPE 2 worked with advanced research institutes in developed countries to develop improved varieties of GLDC crops using new genomic tools (</w:t>
      </w:r>
      <w:proofErr w:type="spellStart"/>
      <w:r w:rsidR="00460C0E">
        <w:rPr>
          <w:rFonts w:ascii="Arial" w:hAnsi="Arial" w:cs="Arial"/>
        </w:rPr>
        <w:t>eg</w:t>
      </w:r>
      <w:proofErr w:type="spellEnd"/>
      <w:r w:rsidR="00460C0E">
        <w:rPr>
          <w:rFonts w:ascii="Arial" w:hAnsi="Arial" w:cs="Arial"/>
        </w:rPr>
        <w:t xml:space="preserve"> Varsh</w:t>
      </w:r>
      <w:r w:rsidR="0073356B">
        <w:rPr>
          <w:rFonts w:ascii="Arial" w:hAnsi="Arial" w:cs="Arial"/>
        </w:rPr>
        <w:t>n</w:t>
      </w:r>
      <w:r w:rsidR="00460C0E">
        <w:rPr>
          <w:rFonts w:ascii="Arial" w:hAnsi="Arial" w:cs="Arial"/>
        </w:rPr>
        <w:t xml:space="preserve">ey, 2019). However, the </w:t>
      </w:r>
      <w:r w:rsidR="001642D1">
        <w:rPr>
          <w:rFonts w:ascii="Arial" w:hAnsi="Arial" w:cs="Arial"/>
        </w:rPr>
        <w:t xml:space="preserve">main objective of these </w:t>
      </w:r>
      <w:r w:rsidR="00460C0E">
        <w:rPr>
          <w:rFonts w:ascii="Arial" w:hAnsi="Arial" w:cs="Arial"/>
        </w:rPr>
        <w:t xml:space="preserve">projects </w:t>
      </w:r>
      <w:r w:rsidR="00ED6E42">
        <w:rPr>
          <w:rFonts w:ascii="Arial" w:hAnsi="Arial" w:cs="Arial"/>
        </w:rPr>
        <w:t xml:space="preserve">was to </w:t>
      </w:r>
      <w:r w:rsidR="00617E35">
        <w:rPr>
          <w:rFonts w:ascii="Arial" w:hAnsi="Arial" w:cs="Arial"/>
        </w:rPr>
        <w:t xml:space="preserve">improve the </w:t>
      </w:r>
      <w:r w:rsidR="00617E35" w:rsidRPr="00B50FBD">
        <w:rPr>
          <w:rFonts w:ascii="Arial" w:hAnsi="Arial" w:cs="Arial"/>
          <w:b/>
          <w:bCs/>
        </w:rPr>
        <w:t>Accessibility</w:t>
      </w:r>
      <w:r w:rsidR="00617E35">
        <w:rPr>
          <w:rFonts w:ascii="Arial" w:hAnsi="Arial" w:cs="Arial"/>
        </w:rPr>
        <w:t xml:space="preserve"> of certified seed through </w:t>
      </w:r>
      <w:r w:rsidR="00460C0E">
        <w:rPr>
          <w:rFonts w:ascii="Arial" w:hAnsi="Arial" w:cs="Arial"/>
        </w:rPr>
        <w:t xml:space="preserve">partnerships with </w:t>
      </w:r>
      <w:r w:rsidR="00617E35">
        <w:rPr>
          <w:rFonts w:ascii="Arial" w:hAnsi="Arial" w:cs="Arial"/>
        </w:rPr>
        <w:t xml:space="preserve">national research programs, </w:t>
      </w:r>
      <w:r w:rsidR="00460C0E">
        <w:rPr>
          <w:rFonts w:ascii="Arial" w:hAnsi="Arial" w:cs="Arial"/>
        </w:rPr>
        <w:t>private seed companies, and farmer groups</w:t>
      </w:r>
      <w:r w:rsidR="00617E35">
        <w:rPr>
          <w:rFonts w:ascii="Arial" w:hAnsi="Arial" w:cs="Arial"/>
        </w:rPr>
        <w:t xml:space="preserve">. </w:t>
      </w:r>
      <w:r w:rsidR="00460C0E">
        <w:rPr>
          <w:rFonts w:ascii="Arial" w:hAnsi="Arial" w:cs="Arial"/>
        </w:rPr>
        <w:t>The TL III project involved partnerships with no fewer than 235 seed production and delivery agencies (ICRISAT, 201</w:t>
      </w:r>
      <w:r w:rsidR="0073356B">
        <w:rPr>
          <w:rFonts w:ascii="Arial" w:hAnsi="Arial" w:cs="Arial"/>
        </w:rPr>
        <w:t xml:space="preserve">3, p. </w:t>
      </w:r>
      <w:r w:rsidR="00460C0E">
        <w:rPr>
          <w:rFonts w:ascii="Arial" w:hAnsi="Arial" w:cs="Arial"/>
        </w:rPr>
        <w:t>15).</w:t>
      </w:r>
    </w:p>
    <w:p w14:paraId="66381017" w14:textId="77777777" w:rsidR="005E6FFB" w:rsidRDefault="005E6FFB" w:rsidP="008276EF">
      <w:pPr>
        <w:pStyle w:val="Footer"/>
        <w:jc w:val="both"/>
        <w:rPr>
          <w:rFonts w:ascii="Arial" w:hAnsi="Arial" w:cs="Arial"/>
        </w:rPr>
      </w:pPr>
    </w:p>
    <w:p w14:paraId="19EF4E55" w14:textId="5116012F" w:rsidR="005E6FFB" w:rsidRDefault="00B50FBD" w:rsidP="005E6FFB">
      <w:pPr>
        <w:jc w:val="both"/>
        <w:rPr>
          <w:rFonts w:ascii="Arial" w:hAnsi="Arial" w:cs="Arial"/>
        </w:rPr>
      </w:pPr>
      <w:r>
        <w:rPr>
          <w:rFonts w:ascii="Arial" w:hAnsi="Arial" w:cs="Arial"/>
        </w:rPr>
        <w:t xml:space="preserve">Public-private </w:t>
      </w:r>
      <w:r w:rsidR="00DC5C39">
        <w:rPr>
          <w:rFonts w:ascii="Arial" w:hAnsi="Arial" w:cs="Arial"/>
        </w:rPr>
        <w:t xml:space="preserve">partnerships </w:t>
      </w:r>
      <w:r w:rsidR="00617E35">
        <w:rPr>
          <w:rFonts w:ascii="Arial" w:hAnsi="Arial" w:cs="Arial"/>
        </w:rPr>
        <w:t xml:space="preserve">to multiply and deliver certified seed </w:t>
      </w:r>
      <w:r w:rsidR="001642D1">
        <w:rPr>
          <w:rFonts w:ascii="Arial" w:hAnsi="Arial" w:cs="Arial"/>
        </w:rPr>
        <w:t xml:space="preserve">are based on mutual self-interest. </w:t>
      </w:r>
      <w:r w:rsidR="00DC5C39">
        <w:rPr>
          <w:rFonts w:ascii="Arial" w:hAnsi="Arial" w:cs="Arial"/>
        </w:rPr>
        <w:t xml:space="preserve">National breeding programs </w:t>
      </w:r>
      <w:r w:rsidR="00A554E3">
        <w:rPr>
          <w:rFonts w:ascii="Arial" w:hAnsi="Arial" w:cs="Arial"/>
        </w:rPr>
        <w:t xml:space="preserve">have multiple channels to </w:t>
      </w:r>
      <w:r w:rsidR="00DC5C39">
        <w:rPr>
          <w:rFonts w:ascii="Arial" w:hAnsi="Arial" w:cs="Arial"/>
        </w:rPr>
        <w:t>market their products and ensure th</w:t>
      </w:r>
      <w:r w:rsidR="00A554E3">
        <w:rPr>
          <w:rFonts w:ascii="Arial" w:hAnsi="Arial" w:cs="Arial"/>
        </w:rPr>
        <w:t xml:space="preserve">at seed stays </w:t>
      </w:r>
      <w:r w:rsidR="00DC5C39">
        <w:rPr>
          <w:rFonts w:ascii="Arial" w:hAnsi="Arial" w:cs="Arial"/>
        </w:rPr>
        <w:t>available</w:t>
      </w:r>
      <w:r w:rsidR="00A554E3">
        <w:rPr>
          <w:rFonts w:ascii="Arial" w:hAnsi="Arial" w:cs="Arial"/>
        </w:rPr>
        <w:t xml:space="preserve">. </w:t>
      </w:r>
      <w:r w:rsidR="00DC5C39">
        <w:rPr>
          <w:rFonts w:ascii="Arial" w:hAnsi="Arial" w:cs="Arial"/>
        </w:rPr>
        <w:t xml:space="preserve">Private companies can </w:t>
      </w:r>
      <w:r w:rsidR="00A554E3">
        <w:rPr>
          <w:rFonts w:ascii="Arial" w:hAnsi="Arial" w:cs="Arial"/>
        </w:rPr>
        <w:t xml:space="preserve">reduce their start-up costs by using </w:t>
      </w:r>
      <w:r w:rsidR="00DC5C39">
        <w:rPr>
          <w:rFonts w:ascii="Arial" w:hAnsi="Arial" w:cs="Arial"/>
        </w:rPr>
        <w:t xml:space="preserve">foundation seed </w:t>
      </w:r>
      <w:r w:rsidR="00A554E3">
        <w:rPr>
          <w:rFonts w:ascii="Arial" w:hAnsi="Arial" w:cs="Arial"/>
        </w:rPr>
        <w:t xml:space="preserve">from national programs. </w:t>
      </w:r>
      <w:r w:rsidR="00DC5C39">
        <w:rPr>
          <w:rFonts w:ascii="Arial" w:hAnsi="Arial" w:cs="Arial"/>
        </w:rPr>
        <w:t xml:space="preserve">Farmer </w:t>
      </w:r>
      <w:r w:rsidR="00A554E3">
        <w:rPr>
          <w:rFonts w:ascii="Arial" w:hAnsi="Arial" w:cs="Arial"/>
        </w:rPr>
        <w:t xml:space="preserve">seed producer </w:t>
      </w:r>
      <w:r w:rsidR="00DC5C39">
        <w:rPr>
          <w:rFonts w:ascii="Arial" w:hAnsi="Arial" w:cs="Arial"/>
        </w:rPr>
        <w:t xml:space="preserve">groups can </w:t>
      </w:r>
      <w:r w:rsidR="00A554E3">
        <w:rPr>
          <w:rFonts w:ascii="Arial" w:hAnsi="Arial" w:cs="Arial"/>
        </w:rPr>
        <w:t>earn income by providing “last-mile</w:t>
      </w:r>
      <w:r w:rsidR="00617E35">
        <w:rPr>
          <w:rFonts w:ascii="Arial" w:hAnsi="Arial" w:cs="Arial"/>
        </w:rPr>
        <w:t>”</w:t>
      </w:r>
      <w:r w:rsidR="00A554E3">
        <w:rPr>
          <w:rFonts w:ascii="Arial" w:hAnsi="Arial" w:cs="Arial"/>
        </w:rPr>
        <w:t xml:space="preserve"> delivery to </w:t>
      </w:r>
      <w:r w:rsidR="00DC5C39">
        <w:rPr>
          <w:rFonts w:ascii="Arial" w:hAnsi="Arial" w:cs="Arial"/>
        </w:rPr>
        <w:t xml:space="preserve">remote areas not served by </w:t>
      </w:r>
      <w:proofErr w:type="spellStart"/>
      <w:r w:rsidR="00DC5C39">
        <w:rPr>
          <w:rFonts w:ascii="Arial" w:hAnsi="Arial" w:cs="Arial"/>
        </w:rPr>
        <w:t>agro</w:t>
      </w:r>
      <w:proofErr w:type="spellEnd"/>
      <w:r w:rsidR="00DC5C39">
        <w:rPr>
          <w:rFonts w:ascii="Arial" w:hAnsi="Arial" w:cs="Arial"/>
        </w:rPr>
        <w:t>-dealers.</w:t>
      </w:r>
      <w:r w:rsidR="0078723E">
        <w:rPr>
          <w:rFonts w:ascii="Arial" w:hAnsi="Arial" w:cs="Arial"/>
        </w:rPr>
        <w:t xml:space="preserve"> </w:t>
      </w:r>
      <w:r w:rsidR="00617E35">
        <w:rPr>
          <w:rFonts w:ascii="Arial" w:hAnsi="Arial" w:cs="Arial"/>
        </w:rPr>
        <w:t>Typically, the public sector provides foundation seed to private seed companies, private seed companies supply basic seed to local seed producers</w:t>
      </w:r>
      <w:r w:rsidR="00EE3056">
        <w:rPr>
          <w:rFonts w:ascii="Arial" w:hAnsi="Arial" w:cs="Arial"/>
        </w:rPr>
        <w:t xml:space="preserve">, and local producers then supply certified </w:t>
      </w:r>
      <w:r w:rsidR="0001448F">
        <w:rPr>
          <w:rFonts w:ascii="Arial" w:hAnsi="Arial" w:cs="Arial"/>
        </w:rPr>
        <w:t>s</w:t>
      </w:r>
      <w:r w:rsidR="00EE3056">
        <w:rPr>
          <w:rFonts w:ascii="Arial" w:hAnsi="Arial" w:cs="Arial"/>
        </w:rPr>
        <w:t>eed to growers (</w:t>
      </w:r>
      <w:proofErr w:type="spellStart"/>
      <w:r w:rsidR="00EE3056">
        <w:rPr>
          <w:rFonts w:ascii="Arial" w:hAnsi="Arial" w:cs="Arial"/>
        </w:rPr>
        <w:t>Rubyogo</w:t>
      </w:r>
      <w:proofErr w:type="spellEnd"/>
      <w:r w:rsidR="00EE3056">
        <w:rPr>
          <w:rFonts w:ascii="Arial" w:hAnsi="Arial" w:cs="Arial"/>
        </w:rPr>
        <w:t xml:space="preserve"> et. al., 2019). </w:t>
      </w:r>
      <w:r w:rsidR="0001448F">
        <w:rPr>
          <w:rFonts w:ascii="Arial" w:hAnsi="Arial" w:cs="Arial"/>
        </w:rPr>
        <w:t>But there are many variations on this basic model</w:t>
      </w:r>
      <w:r w:rsidR="00ED6E42">
        <w:rPr>
          <w:rFonts w:ascii="Arial" w:hAnsi="Arial" w:cs="Arial"/>
        </w:rPr>
        <w:t xml:space="preserve">. No two countries have the same seed system. Although public-private partnerships can transform seed systems, </w:t>
      </w:r>
      <w:r w:rsidR="005E6FFB">
        <w:rPr>
          <w:rFonts w:ascii="Arial" w:hAnsi="Arial" w:cs="Arial"/>
        </w:rPr>
        <w:t xml:space="preserve">however, </w:t>
      </w:r>
      <w:r w:rsidR="00ED6E42">
        <w:rPr>
          <w:rFonts w:ascii="Arial" w:hAnsi="Arial" w:cs="Arial"/>
        </w:rPr>
        <w:t xml:space="preserve">they can also be </w:t>
      </w:r>
      <w:r w:rsidR="005E50EE">
        <w:rPr>
          <w:rFonts w:ascii="Arial" w:hAnsi="Arial" w:cs="Arial"/>
        </w:rPr>
        <w:t>difficult to manage</w:t>
      </w:r>
      <w:r w:rsidR="00717D18">
        <w:rPr>
          <w:rFonts w:ascii="Arial" w:hAnsi="Arial" w:cs="Arial"/>
        </w:rPr>
        <w:t xml:space="preserve">. </w:t>
      </w:r>
      <w:r w:rsidR="005E50EE">
        <w:rPr>
          <w:rFonts w:ascii="Arial" w:hAnsi="Arial" w:cs="Arial"/>
        </w:rPr>
        <w:t xml:space="preserve">As we have seen, </w:t>
      </w:r>
      <w:r w:rsidR="001E2F3A">
        <w:rPr>
          <w:rFonts w:ascii="Arial" w:hAnsi="Arial" w:cs="Arial"/>
        </w:rPr>
        <w:t xml:space="preserve">the TL III project </w:t>
      </w:r>
      <w:r w:rsidR="005E6FFB">
        <w:rPr>
          <w:rFonts w:ascii="Arial" w:hAnsi="Arial" w:cs="Arial"/>
        </w:rPr>
        <w:t xml:space="preserve">experienced difficulties with </w:t>
      </w:r>
      <w:r w:rsidR="00026AA6">
        <w:rPr>
          <w:rFonts w:ascii="Arial" w:hAnsi="Arial" w:cs="Arial"/>
        </w:rPr>
        <w:t>start</w:t>
      </w:r>
      <w:r w:rsidR="005E6FFB">
        <w:rPr>
          <w:rFonts w:ascii="Arial" w:hAnsi="Arial" w:cs="Arial"/>
        </w:rPr>
        <w:t>-</w:t>
      </w:r>
      <w:r w:rsidR="00026AA6">
        <w:rPr>
          <w:rFonts w:ascii="Arial" w:hAnsi="Arial" w:cs="Arial"/>
        </w:rPr>
        <w:t xml:space="preserve">up </w:t>
      </w:r>
      <w:r w:rsidR="005E50EE">
        <w:rPr>
          <w:rFonts w:ascii="Arial" w:hAnsi="Arial" w:cs="Arial"/>
        </w:rPr>
        <w:t>seed companies</w:t>
      </w:r>
      <w:r w:rsidR="00717D18">
        <w:rPr>
          <w:rFonts w:ascii="Arial" w:hAnsi="Arial" w:cs="Arial"/>
        </w:rPr>
        <w:t xml:space="preserve"> for </w:t>
      </w:r>
      <w:r w:rsidR="00026AA6">
        <w:rPr>
          <w:rFonts w:ascii="Arial" w:hAnsi="Arial" w:cs="Arial"/>
        </w:rPr>
        <w:t xml:space="preserve">grain legumes. </w:t>
      </w:r>
      <w:r w:rsidR="005E50EE">
        <w:rPr>
          <w:rFonts w:ascii="Arial" w:hAnsi="Arial" w:cs="Arial"/>
        </w:rPr>
        <w:t xml:space="preserve">Similarly, </w:t>
      </w:r>
      <w:r w:rsidR="00026AA6">
        <w:rPr>
          <w:rFonts w:ascii="Arial" w:hAnsi="Arial" w:cs="Arial"/>
        </w:rPr>
        <w:t xml:space="preserve">some national breeding programs </w:t>
      </w:r>
      <w:r w:rsidR="005E6FFB">
        <w:rPr>
          <w:rFonts w:ascii="Arial" w:hAnsi="Arial" w:cs="Arial"/>
        </w:rPr>
        <w:t xml:space="preserve">have </w:t>
      </w:r>
      <w:r w:rsidR="00026AA6">
        <w:rPr>
          <w:rFonts w:ascii="Arial" w:hAnsi="Arial" w:cs="Arial"/>
        </w:rPr>
        <w:t>resist</w:t>
      </w:r>
      <w:r w:rsidR="005E6FFB">
        <w:rPr>
          <w:rFonts w:ascii="Arial" w:hAnsi="Arial" w:cs="Arial"/>
        </w:rPr>
        <w:t>ed</w:t>
      </w:r>
      <w:r w:rsidR="00026AA6">
        <w:rPr>
          <w:rFonts w:ascii="Arial" w:hAnsi="Arial" w:cs="Arial"/>
        </w:rPr>
        <w:t xml:space="preserve"> working with commercial </w:t>
      </w:r>
      <w:r w:rsidR="005E50EE">
        <w:rPr>
          <w:rFonts w:ascii="Arial" w:hAnsi="Arial" w:cs="Arial"/>
        </w:rPr>
        <w:t xml:space="preserve">seed companies </w:t>
      </w:r>
      <w:r w:rsidR="003E5D4A">
        <w:rPr>
          <w:rFonts w:ascii="Arial" w:hAnsi="Arial" w:cs="Arial"/>
        </w:rPr>
        <w:t>on the grounds that th</w:t>
      </w:r>
      <w:r w:rsidR="00026AA6">
        <w:rPr>
          <w:rFonts w:ascii="Arial" w:hAnsi="Arial" w:cs="Arial"/>
        </w:rPr>
        <w:t>e</w:t>
      </w:r>
      <w:r w:rsidR="008B5913">
        <w:rPr>
          <w:rFonts w:ascii="Arial" w:hAnsi="Arial" w:cs="Arial"/>
        </w:rPr>
        <w:t xml:space="preserve">ir mandate is </w:t>
      </w:r>
      <w:r w:rsidR="00026AA6">
        <w:rPr>
          <w:rFonts w:ascii="Arial" w:hAnsi="Arial" w:cs="Arial"/>
        </w:rPr>
        <w:t>to work with smallholders (Dominik Klauser, pers. comm.).</w:t>
      </w:r>
      <w:r w:rsidR="008F5E9D">
        <w:rPr>
          <w:rFonts w:ascii="Arial" w:hAnsi="Arial" w:cs="Arial"/>
        </w:rPr>
        <w:t xml:space="preserve"> </w:t>
      </w:r>
      <w:r w:rsidR="001E2F3A">
        <w:rPr>
          <w:rFonts w:ascii="Arial" w:hAnsi="Arial" w:cs="Arial"/>
        </w:rPr>
        <w:t>Successful p</w:t>
      </w:r>
      <w:r w:rsidR="008F5E9D">
        <w:rPr>
          <w:rFonts w:ascii="Arial" w:hAnsi="Arial" w:cs="Arial"/>
        </w:rPr>
        <w:t xml:space="preserve">artnerships must </w:t>
      </w:r>
      <w:r w:rsidR="005E6FFB">
        <w:rPr>
          <w:rFonts w:ascii="Arial" w:hAnsi="Arial" w:cs="Arial"/>
        </w:rPr>
        <w:t xml:space="preserve">first </w:t>
      </w:r>
      <w:r w:rsidR="008F5E9D">
        <w:rPr>
          <w:rFonts w:ascii="Arial" w:hAnsi="Arial" w:cs="Arial"/>
        </w:rPr>
        <w:t xml:space="preserve">overcome </w:t>
      </w:r>
      <w:r w:rsidR="001E2F3A">
        <w:rPr>
          <w:rFonts w:ascii="Arial" w:hAnsi="Arial" w:cs="Arial"/>
        </w:rPr>
        <w:t xml:space="preserve">these </w:t>
      </w:r>
      <w:r w:rsidR="00ED6E42">
        <w:rPr>
          <w:rFonts w:ascii="Arial" w:hAnsi="Arial" w:cs="Arial"/>
        </w:rPr>
        <w:t xml:space="preserve">differences in agendas, </w:t>
      </w:r>
      <w:r w:rsidR="008F5E9D">
        <w:rPr>
          <w:rFonts w:ascii="Arial" w:hAnsi="Arial" w:cs="Arial"/>
        </w:rPr>
        <w:t>organisational culture</w:t>
      </w:r>
      <w:r w:rsidR="00ED6E42">
        <w:rPr>
          <w:rFonts w:ascii="Arial" w:hAnsi="Arial" w:cs="Arial"/>
        </w:rPr>
        <w:t>, knowledge and skills</w:t>
      </w:r>
      <w:r w:rsidR="008F5E9D">
        <w:rPr>
          <w:rFonts w:ascii="Arial" w:hAnsi="Arial" w:cs="Arial"/>
        </w:rPr>
        <w:t xml:space="preserve">. </w:t>
      </w:r>
    </w:p>
    <w:p w14:paraId="1215CC24" w14:textId="38B84AFF" w:rsidR="00DC5C39" w:rsidRDefault="00460C0E" w:rsidP="00251B37">
      <w:pPr>
        <w:jc w:val="both"/>
        <w:rPr>
          <w:rFonts w:ascii="Arial" w:hAnsi="Arial" w:cs="Arial"/>
        </w:rPr>
      </w:pPr>
      <w:r>
        <w:rPr>
          <w:rFonts w:ascii="Arial" w:hAnsi="Arial" w:cs="Arial"/>
        </w:rPr>
        <w:t>Given the</w:t>
      </w:r>
      <w:r w:rsidR="005F2DE8">
        <w:rPr>
          <w:rFonts w:ascii="Arial" w:hAnsi="Arial" w:cs="Arial"/>
        </w:rPr>
        <w:t xml:space="preserve"> importance of partnerships </w:t>
      </w:r>
      <w:r w:rsidR="00251B37">
        <w:rPr>
          <w:rFonts w:ascii="Arial" w:hAnsi="Arial" w:cs="Arial"/>
        </w:rPr>
        <w:t xml:space="preserve">and gender </w:t>
      </w:r>
      <w:r w:rsidR="005F2DE8">
        <w:rPr>
          <w:rFonts w:ascii="Arial" w:hAnsi="Arial" w:cs="Arial"/>
        </w:rPr>
        <w:t xml:space="preserve">for </w:t>
      </w:r>
      <w:r>
        <w:rPr>
          <w:rFonts w:ascii="Arial" w:hAnsi="Arial" w:cs="Arial"/>
        </w:rPr>
        <w:t xml:space="preserve">scaling, the question is whether the framework should give </w:t>
      </w:r>
      <w:r w:rsidR="005F2DE8">
        <w:rPr>
          <w:rFonts w:ascii="Arial" w:hAnsi="Arial" w:cs="Arial"/>
        </w:rPr>
        <w:t xml:space="preserve">them </w:t>
      </w:r>
      <w:r>
        <w:rPr>
          <w:rFonts w:ascii="Arial" w:hAnsi="Arial" w:cs="Arial"/>
        </w:rPr>
        <w:t xml:space="preserve">greater emphasis. </w:t>
      </w:r>
      <w:r w:rsidR="001E2F3A">
        <w:rPr>
          <w:rFonts w:ascii="Arial" w:hAnsi="Arial" w:cs="Arial"/>
        </w:rPr>
        <w:t xml:space="preserve">Since </w:t>
      </w:r>
      <w:r w:rsidR="00251B37">
        <w:rPr>
          <w:rFonts w:ascii="Arial" w:hAnsi="Arial" w:cs="Arial"/>
        </w:rPr>
        <w:t xml:space="preserve">they </w:t>
      </w:r>
      <w:r w:rsidR="001E2F3A">
        <w:rPr>
          <w:rFonts w:ascii="Arial" w:hAnsi="Arial" w:cs="Arial"/>
        </w:rPr>
        <w:t xml:space="preserve">are relevant for more than one component, the solution may be to treat them as a cross-cutting issue. </w:t>
      </w:r>
      <w:r w:rsidR="00251B37">
        <w:rPr>
          <w:rFonts w:ascii="Arial" w:hAnsi="Arial" w:cs="Arial"/>
        </w:rPr>
        <w:t xml:space="preserve">They </w:t>
      </w:r>
      <w:r w:rsidR="001627F0">
        <w:rPr>
          <w:rFonts w:ascii="Arial" w:hAnsi="Arial" w:cs="Arial"/>
        </w:rPr>
        <w:t xml:space="preserve">are not a component of scaling, but they are </w:t>
      </w:r>
      <w:r w:rsidR="00251B37">
        <w:rPr>
          <w:rFonts w:ascii="Arial" w:hAnsi="Arial" w:cs="Arial"/>
        </w:rPr>
        <w:t xml:space="preserve">part of </w:t>
      </w:r>
      <w:r w:rsidR="001627F0">
        <w:rPr>
          <w:rFonts w:ascii="Arial" w:hAnsi="Arial" w:cs="Arial"/>
        </w:rPr>
        <w:t xml:space="preserve">the process. </w:t>
      </w:r>
      <w:r w:rsidR="001B13A4">
        <w:rPr>
          <w:rFonts w:ascii="Arial" w:hAnsi="Arial" w:cs="Arial"/>
        </w:rPr>
        <w:t>This is the solution adopted by the GLDC Research Program</w:t>
      </w:r>
      <w:r w:rsidR="00251B37">
        <w:rPr>
          <w:rFonts w:ascii="Arial" w:hAnsi="Arial" w:cs="Arial"/>
        </w:rPr>
        <w:t xml:space="preserve"> and by the four projects</w:t>
      </w:r>
      <w:r w:rsidR="004B6DAD">
        <w:rPr>
          <w:rFonts w:ascii="Arial" w:hAnsi="Arial" w:cs="Arial"/>
        </w:rPr>
        <w:t xml:space="preserve">. </w:t>
      </w:r>
      <w:r w:rsidR="00251B37">
        <w:rPr>
          <w:rFonts w:ascii="Arial" w:hAnsi="Arial" w:cs="Arial"/>
        </w:rPr>
        <w:t>However, these process elements are missing from the current scaling framework.</w:t>
      </w:r>
    </w:p>
    <w:p w14:paraId="1EAA6935" w14:textId="6D671D8A" w:rsidR="00CE79A7" w:rsidRDefault="008E3DA5" w:rsidP="00321EC2">
      <w:pPr>
        <w:jc w:val="both"/>
        <w:rPr>
          <w:rFonts w:ascii="Arial" w:hAnsi="Arial" w:cs="Arial"/>
        </w:rPr>
      </w:pPr>
      <w:r>
        <w:rPr>
          <w:rFonts w:ascii="Arial" w:hAnsi="Arial" w:cs="Arial"/>
        </w:rPr>
        <w:t>A</w:t>
      </w:r>
      <w:r w:rsidR="002F65F2">
        <w:rPr>
          <w:rFonts w:ascii="Arial" w:hAnsi="Arial" w:cs="Arial"/>
        </w:rPr>
        <w:t xml:space="preserve">s it stands, the scaling framework is a useful visualisation of a complex process. </w:t>
      </w:r>
      <w:r w:rsidR="00983C21">
        <w:rPr>
          <w:rFonts w:ascii="Arial" w:hAnsi="Arial" w:cs="Arial"/>
        </w:rPr>
        <w:t>But it remains a framework – “a skeleton” – rather than a tool. Tools come with a manual or a set of instructions. T</w:t>
      </w:r>
      <w:r w:rsidR="002F65F2">
        <w:rPr>
          <w:rFonts w:ascii="Arial" w:hAnsi="Arial" w:cs="Arial"/>
        </w:rPr>
        <w:t>he utility of the scaling framework could be enhanced</w:t>
      </w:r>
      <w:r w:rsidR="008F5E9D">
        <w:rPr>
          <w:rFonts w:ascii="Arial" w:hAnsi="Arial" w:cs="Arial"/>
        </w:rPr>
        <w:t xml:space="preserve"> by </w:t>
      </w:r>
      <w:r w:rsidR="00CE79A7">
        <w:rPr>
          <w:rFonts w:ascii="Arial" w:hAnsi="Arial" w:cs="Arial"/>
        </w:rPr>
        <w:t>presenting the framework as the centrepiece of an ex</w:t>
      </w:r>
      <w:r w:rsidR="002F65F2">
        <w:rPr>
          <w:rFonts w:ascii="Arial" w:hAnsi="Arial" w:cs="Arial"/>
        </w:rPr>
        <w:t>p</w:t>
      </w:r>
      <w:r w:rsidR="00CE79A7">
        <w:rPr>
          <w:rFonts w:ascii="Arial" w:hAnsi="Arial" w:cs="Arial"/>
        </w:rPr>
        <w:t xml:space="preserve">anded toolkit, which provided the user with more information. </w:t>
      </w:r>
    </w:p>
    <w:p w14:paraId="7A5BA846" w14:textId="4BA7005D" w:rsidR="00683254" w:rsidRDefault="009F0297" w:rsidP="00321EC2">
      <w:pPr>
        <w:jc w:val="both"/>
        <w:rPr>
          <w:rFonts w:ascii="Arial" w:hAnsi="Arial" w:cs="Arial"/>
        </w:rPr>
      </w:pPr>
      <w:r>
        <w:rPr>
          <w:rFonts w:ascii="Arial" w:hAnsi="Arial" w:cs="Arial"/>
        </w:rPr>
        <w:t xml:space="preserve">What would a scaling toolkit look like? The visualisation of scaling would stay the same. But the toolkit would contain significant new elements. </w:t>
      </w:r>
      <w:r w:rsidR="00C64E76">
        <w:rPr>
          <w:rFonts w:ascii="Arial" w:hAnsi="Arial" w:cs="Arial"/>
        </w:rPr>
        <w:t xml:space="preserve">First, </w:t>
      </w:r>
      <w:r w:rsidR="00CE79A7">
        <w:rPr>
          <w:rFonts w:ascii="Arial" w:hAnsi="Arial" w:cs="Arial"/>
        </w:rPr>
        <w:t xml:space="preserve">the toolkit would set the framework in </w:t>
      </w:r>
      <w:r w:rsidR="00C64E76">
        <w:rPr>
          <w:rFonts w:ascii="Arial" w:hAnsi="Arial" w:cs="Arial"/>
        </w:rPr>
        <w:t>context</w:t>
      </w:r>
      <w:r w:rsidR="00CE79A7">
        <w:rPr>
          <w:rFonts w:ascii="Arial" w:hAnsi="Arial" w:cs="Arial"/>
        </w:rPr>
        <w:t xml:space="preserve">, as a product of the GLDC program’s theory of change, where scaling is viewed as part of a wider process of commercialisation. The strengths and limitations of this model should be outlined. Next, the toolkit would include a glossary of the </w:t>
      </w:r>
      <w:r w:rsidR="001642D1">
        <w:rPr>
          <w:rFonts w:ascii="Arial" w:hAnsi="Arial" w:cs="Arial"/>
        </w:rPr>
        <w:t>nine</w:t>
      </w:r>
      <w:r w:rsidR="00CE79A7">
        <w:rPr>
          <w:rFonts w:ascii="Arial" w:hAnsi="Arial" w:cs="Arial"/>
        </w:rPr>
        <w:t xml:space="preserve"> components in the framework. At present, the task of unpacking these components is largely left to the user.  The glossary would spell out what </w:t>
      </w:r>
      <w:r w:rsidR="00164538">
        <w:rPr>
          <w:rFonts w:ascii="Arial" w:hAnsi="Arial" w:cs="Arial"/>
        </w:rPr>
        <w:t xml:space="preserve">needs to be considered for each component. A short check – list would prompt users to answer key questions. For example, the glossary for </w:t>
      </w:r>
      <w:r w:rsidR="00164538" w:rsidRPr="00164538">
        <w:rPr>
          <w:rFonts w:ascii="Arial" w:hAnsi="Arial" w:cs="Arial"/>
          <w:b/>
          <w:bCs/>
        </w:rPr>
        <w:t>Farmer Preferences</w:t>
      </w:r>
      <w:r w:rsidR="00164538">
        <w:rPr>
          <w:rFonts w:ascii="Arial" w:hAnsi="Arial" w:cs="Arial"/>
        </w:rPr>
        <w:t xml:space="preserve"> would ask users about the target group (s), women’s preferences, and whether the product was used primarily for sale or home consumption. Similarly, the glossary for </w:t>
      </w:r>
      <w:r w:rsidR="00164538" w:rsidRPr="00164538">
        <w:rPr>
          <w:rFonts w:ascii="Arial" w:hAnsi="Arial" w:cs="Arial"/>
          <w:b/>
          <w:bCs/>
        </w:rPr>
        <w:lastRenderedPageBreak/>
        <w:t>Consumer Demand</w:t>
      </w:r>
      <w:r w:rsidR="00164538">
        <w:rPr>
          <w:rFonts w:ascii="Arial" w:hAnsi="Arial" w:cs="Arial"/>
        </w:rPr>
        <w:t xml:space="preserve"> would ask users about the size of the market segment, the consumer profile, and </w:t>
      </w:r>
      <w:r w:rsidR="00683254">
        <w:rPr>
          <w:rFonts w:ascii="Arial" w:hAnsi="Arial" w:cs="Arial"/>
        </w:rPr>
        <w:t xml:space="preserve">which product attributes match the needs of consumers. </w:t>
      </w:r>
      <w:r w:rsidR="00164538">
        <w:rPr>
          <w:rFonts w:ascii="Arial" w:hAnsi="Arial" w:cs="Arial"/>
        </w:rPr>
        <w:t>The checklist could also include cross-cutting issues, such as the opportunity to test key assumptions in the framework</w:t>
      </w:r>
      <w:r w:rsidR="005F2DE8">
        <w:rPr>
          <w:rFonts w:ascii="Arial" w:hAnsi="Arial" w:cs="Arial"/>
        </w:rPr>
        <w:t xml:space="preserve">, </w:t>
      </w:r>
      <w:r w:rsidR="00164538">
        <w:rPr>
          <w:rFonts w:ascii="Arial" w:hAnsi="Arial" w:cs="Arial"/>
        </w:rPr>
        <w:t>to compare the effectiveness of scaling methods</w:t>
      </w:r>
      <w:r w:rsidR="005F2DE8">
        <w:rPr>
          <w:rFonts w:ascii="Arial" w:hAnsi="Arial" w:cs="Arial"/>
        </w:rPr>
        <w:t>, and about partnerships</w:t>
      </w:r>
      <w:r w:rsidR="00164538">
        <w:rPr>
          <w:rFonts w:ascii="Arial" w:hAnsi="Arial" w:cs="Arial"/>
        </w:rPr>
        <w:t xml:space="preserve">. </w:t>
      </w:r>
      <w:r w:rsidR="005F2DE8">
        <w:rPr>
          <w:rFonts w:ascii="Arial" w:hAnsi="Arial" w:cs="Arial"/>
        </w:rPr>
        <w:t xml:space="preserve">The glossary would be used at the design stage to ensure that critical issues for each component were not overlooked and that the design included opportunities for learning about scaling approaches and methods. </w:t>
      </w:r>
      <w:r w:rsidR="00683254">
        <w:rPr>
          <w:rFonts w:ascii="Arial" w:hAnsi="Arial" w:cs="Arial"/>
        </w:rPr>
        <w:t>The tool</w:t>
      </w:r>
      <w:r w:rsidR="00ED6E42">
        <w:rPr>
          <w:rFonts w:ascii="Arial" w:hAnsi="Arial" w:cs="Arial"/>
        </w:rPr>
        <w:t>kits</w:t>
      </w:r>
      <w:r w:rsidR="00683254">
        <w:rPr>
          <w:rFonts w:ascii="Arial" w:hAnsi="Arial" w:cs="Arial"/>
        </w:rPr>
        <w:t xml:space="preserve"> developed by the Gender and Plant Breeding Initiative are a possible model here</w:t>
      </w:r>
      <w:r w:rsidR="00ED6E42">
        <w:rPr>
          <w:rFonts w:ascii="Arial" w:hAnsi="Arial" w:cs="Arial"/>
        </w:rPr>
        <w:t xml:space="preserve"> (RTB, 2019).</w:t>
      </w:r>
      <w:r w:rsidR="005F2DE8">
        <w:rPr>
          <w:rFonts w:ascii="Arial" w:hAnsi="Arial" w:cs="Arial"/>
        </w:rPr>
        <w:t xml:space="preserve"> The</w:t>
      </w:r>
      <w:r w:rsidR="00ED6E42">
        <w:rPr>
          <w:rFonts w:ascii="Arial" w:hAnsi="Arial" w:cs="Arial"/>
        </w:rPr>
        <w:t xml:space="preserve">y </w:t>
      </w:r>
      <w:r w:rsidR="005F2DE8">
        <w:rPr>
          <w:rFonts w:ascii="Arial" w:hAnsi="Arial" w:cs="Arial"/>
        </w:rPr>
        <w:t xml:space="preserve">include not just visualisation but </w:t>
      </w:r>
      <w:r w:rsidR="00130C91">
        <w:rPr>
          <w:rFonts w:ascii="Arial" w:hAnsi="Arial" w:cs="Arial"/>
        </w:rPr>
        <w:t xml:space="preserve">instructions </w:t>
      </w:r>
      <w:r w:rsidR="005F2DE8">
        <w:rPr>
          <w:rFonts w:ascii="Arial" w:hAnsi="Arial" w:cs="Arial"/>
        </w:rPr>
        <w:t xml:space="preserve">on how to use the tools </w:t>
      </w:r>
      <w:r w:rsidR="00A54545">
        <w:rPr>
          <w:rFonts w:ascii="Arial" w:hAnsi="Arial" w:cs="Arial"/>
        </w:rPr>
        <w:t xml:space="preserve">correctly </w:t>
      </w:r>
      <w:r w:rsidR="00130C91">
        <w:rPr>
          <w:rFonts w:ascii="Arial" w:hAnsi="Arial" w:cs="Arial"/>
        </w:rPr>
        <w:t xml:space="preserve">and </w:t>
      </w:r>
      <w:r w:rsidR="005F2DE8">
        <w:rPr>
          <w:rFonts w:ascii="Arial" w:hAnsi="Arial" w:cs="Arial"/>
        </w:rPr>
        <w:t>effectively</w:t>
      </w:r>
      <w:r w:rsidR="00ED6E42">
        <w:rPr>
          <w:rFonts w:ascii="Arial" w:hAnsi="Arial" w:cs="Arial"/>
        </w:rPr>
        <w:t>.</w:t>
      </w:r>
      <w:r w:rsidR="00CE79A7">
        <w:rPr>
          <w:rFonts w:ascii="Arial" w:hAnsi="Arial" w:cs="Arial"/>
        </w:rPr>
        <w:t xml:space="preserve"> Finally, the toolkit would include examples</w:t>
      </w:r>
      <w:r w:rsidR="00D8678F">
        <w:rPr>
          <w:rFonts w:ascii="Arial" w:hAnsi="Arial" w:cs="Arial"/>
        </w:rPr>
        <w:t xml:space="preserve"> of how to use the </w:t>
      </w:r>
      <w:r w:rsidR="001642D1">
        <w:rPr>
          <w:rFonts w:ascii="Arial" w:hAnsi="Arial" w:cs="Arial"/>
        </w:rPr>
        <w:t>scaling framework</w:t>
      </w:r>
      <w:r w:rsidR="00D8678F">
        <w:rPr>
          <w:rFonts w:ascii="Arial" w:hAnsi="Arial" w:cs="Arial"/>
        </w:rPr>
        <w:t xml:space="preserve">, </w:t>
      </w:r>
      <w:r w:rsidR="00CE79A7">
        <w:rPr>
          <w:rFonts w:ascii="Arial" w:hAnsi="Arial" w:cs="Arial"/>
        </w:rPr>
        <w:t xml:space="preserve">based on </w:t>
      </w:r>
      <w:r w:rsidR="007C77C6">
        <w:rPr>
          <w:rFonts w:ascii="Arial" w:hAnsi="Arial" w:cs="Arial"/>
        </w:rPr>
        <w:t xml:space="preserve">the </w:t>
      </w:r>
      <w:r w:rsidR="00CE79A7">
        <w:rPr>
          <w:rFonts w:ascii="Arial" w:hAnsi="Arial" w:cs="Arial"/>
        </w:rPr>
        <w:t>experience</w:t>
      </w:r>
      <w:r w:rsidR="00D8678F">
        <w:rPr>
          <w:rFonts w:ascii="Arial" w:hAnsi="Arial" w:cs="Arial"/>
        </w:rPr>
        <w:t xml:space="preserve"> </w:t>
      </w:r>
      <w:r w:rsidR="007C77C6">
        <w:rPr>
          <w:rFonts w:ascii="Arial" w:hAnsi="Arial" w:cs="Arial"/>
        </w:rPr>
        <w:t xml:space="preserve">of real-world scaling projects </w:t>
      </w:r>
      <w:r w:rsidR="00D8678F">
        <w:rPr>
          <w:rFonts w:ascii="Arial" w:hAnsi="Arial" w:cs="Arial"/>
        </w:rPr>
        <w:t xml:space="preserve">or pointing out gaps in knowledge. </w:t>
      </w:r>
      <w:r w:rsidR="00CE79A7">
        <w:rPr>
          <w:rFonts w:ascii="Arial" w:hAnsi="Arial" w:cs="Arial"/>
        </w:rPr>
        <w:t xml:space="preserve"> </w:t>
      </w:r>
    </w:p>
    <w:p w14:paraId="32B8D32E" w14:textId="3323AAC9" w:rsidR="00164538" w:rsidRDefault="00683254" w:rsidP="00321EC2">
      <w:pPr>
        <w:jc w:val="both"/>
        <w:rPr>
          <w:rFonts w:ascii="Arial" w:hAnsi="Arial" w:cs="Arial"/>
        </w:rPr>
      </w:pPr>
      <w:r>
        <w:rPr>
          <w:rFonts w:ascii="Arial" w:hAnsi="Arial" w:cs="Arial"/>
        </w:rPr>
        <w:t xml:space="preserve"> </w:t>
      </w:r>
    </w:p>
    <w:p w14:paraId="2BF3DDE9" w14:textId="506D5A17" w:rsidR="00472760" w:rsidRDefault="00007080" w:rsidP="002F4628">
      <w:pPr>
        <w:jc w:val="center"/>
        <w:rPr>
          <w:rFonts w:ascii="Arial" w:hAnsi="Arial" w:cs="Arial"/>
          <w:b/>
          <w:bCs/>
        </w:rPr>
      </w:pPr>
      <w:r>
        <w:rPr>
          <w:rFonts w:ascii="Arial" w:hAnsi="Arial" w:cs="Arial"/>
          <w:b/>
          <w:bCs/>
        </w:rPr>
        <w:t>7. Conclusion</w:t>
      </w:r>
      <w:r w:rsidR="009D2951">
        <w:rPr>
          <w:rFonts w:ascii="Arial" w:hAnsi="Arial" w:cs="Arial"/>
          <w:b/>
          <w:bCs/>
        </w:rPr>
        <w:t xml:space="preserve"> and Recommendations</w:t>
      </w:r>
    </w:p>
    <w:p w14:paraId="49CB400D" w14:textId="4217A9C4" w:rsidR="007A7A87" w:rsidRDefault="002F4628" w:rsidP="002F4628">
      <w:pPr>
        <w:jc w:val="both"/>
        <w:rPr>
          <w:rFonts w:ascii="Arial" w:hAnsi="Arial" w:cs="Arial"/>
        </w:rPr>
      </w:pPr>
      <w:r w:rsidRPr="002F4628">
        <w:rPr>
          <w:rFonts w:ascii="Arial" w:hAnsi="Arial" w:cs="Arial"/>
        </w:rPr>
        <w:t xml:space="preserve">The scaling framework </w:t>
      </w:r>
      <w:r w:rsidR="00DA5A22">
        <w:rPr>
          <w:rFonts w:ascii="Arial" w:hAnsi="Arial" w:cs="Arial"/>
        </w:rPr>
        <w:t>was designed to capture the chief components of a complex process. This design was based on a review</w:t>
      </w:r>
      <w:r w:rsidR="007C77C6">
        <w:rPr>
          <w:rFonts w:ascii="Arial" w:hAnsi="Arial" w:cs="Arial"/>
        </w:rPr>
        <w:t xml:space="preserve"> of the literature on scaling</w:t>
      </w:r>
      <w:r w:rsidR="00DA5A22">
        <w:rPr>
          <w:rFonts w:ascii="Arial" w:hAnsi="Arial" w:cs="Arial"/>
        </w:rPr>
        <w:t xml:space="preserve">. This report tested the design against </w:t>
      </w:r>
      <w:r w:rsidR="007C77C6">
        <w:rPr>
          <w:rFonts w:ascii="Arial" w:hAnsi="Arial" w:cs="Arial"/>
        </w:rPr>
        <w:t xml:space="preserve">the practical experience of </w:t>
      </w:r>
      <w:r w:rsidR="00DA5A22">
        <w:rPr>
          <w:rFonts w:ascii="Arial" w:hAnsi="Arial" w:cs="Arial"/>
        </w:rPr>
        <w:t xml:space="preserve">four scaling projects </w:t>
      </w:r>
      <w:r w:rsidR="007C77C6">
        <w:rPr>
          <w:rFonts w:ascii="Arial" w:hAnsi="Arial" w:cs="Arial"/>
        </w:rPr>
        <w:t xml:space="preserve">in </w:t>
      </w:r>
      <w:r w:rsidR="00DA5A22">
        <w:rPr>
          <w:rFonts w:ascii="Arial" w:hAnsi="Arial" w:cs="Arial"/>
        </w:rPr>
        <w:t xml:space="preserve">the GLDC research program. How useful was the framework for understanding the design and performance of these projects? </w:t>
      </w:r>
      <w:r w:rsidR="00F51E34">
        <w:rPr>
          <w:rFonts w:ascii="Arial" w:hAnsi="Arial" w:cs="Arial"/>
        </w:rPr>
        <w:t xml:space="preserve">Did these </w:t>
      </w:r>
      <w:r w:rsidR="007A7A87">
        <w:rPr>
          <w:rFonts w:ascii="Arial" w:hAnsi="Arial" w:cs="Arial"/>
        </w:rPr>
        <w:t xml:space="preserve">real-world examples </w:t>
      </w:r>
      <w:r w:rsidR="00F51E34">
        <w:rPr>
          <w:rFonts w:ascii="Arial" w:hAnsi="Arial" w:cs="Arial"/>
        </w:rPr>
        <w:t>expose gaps i</w:t>
      </w:r>
      <w:r w:rsidR="00DA5A22">
        <w:rPr>
          <w:rFonts w:ascii="Arial" w:hAnsi="Arial" w:cs="Arial"/>
        </w:rPr>
        <w:t xml:space="preserve">n the framework </w:t>
      </w:r>
      <w:r w:rsidR="00791B3E">
        <w:rPr>
          <w:rFonts w:ascii="Arial" w:hAnsi="Arial" w:cs="Arial"/>
        </w:rPr>
        <w:t>and</w:t>
      </w:r>
      <w:r w:rsidR="007A7A87">
        <w:rPr>
          <w:rFonts w:ascii="Arial" w:hAnsi="Arial" w:cs="Arial"/>
        </w:rPr>
        <w:t xml:space="preserve">, if so, </w:t>
      </w:r>
      <w:r w:rsidR="00791B3E">
        <w:rPr>
          <w:rFonts w:ascii="Arial" w:hAnsi="Arial" w:cs="Arial"/>
        </w:rPr>
        <w:t>how might the framework be improved</w:t>
      </w:r>
      <w:r w:rsidR="007A7A87">
        <w:rPr>
          <w:rFonts w:ascii="Arial" w:hAnsi="Arial" w:cs="Arial"/>
        </w:rPr>
        <w:t>?</w:t>
      </w:r>
    </w:p>
    <w:p w14:paraId="09B21F23" w14:textId="4B4CDC3E" w:rsidR="00FF72CD" w:rsidRDefault="00DA5A22" w:rsidP="002F4628">
      <w:pPr>
        <w:jc w:val="both"/>
        <w:rPr>
          <w:rFonts w:ascii="Arial" w:hAnsi="Arial" w:cs="Arial"/>
        </w:rPr>
      </w:pPr>
      <w:r>
        <w:rPr>
          <w:rFonts w:ascii="Arial" w:hAnsi="Arial" w:cs="Arial"/>
        </w:rPr>
        <w:t xml:space="preserve">We conclude that </w:t>
      </w:r>
      <w:r w:rsidR="00BA2E03">
        <w:rPr>
          <w:rFonts w:ascii="Arial" w:hAnsi="Arial" w:cs="Arial"/>
        </w:rPr>
        <w:t xml:space="preserve">the GLDC scaling framework captured the main components of four scaling projects. The framework was most useful at the design stage, identifying which components were and were not addressed, the scaling methods used, and the scope </w:t>
      </w:r>
      <w:r w:rsidR="001642D1">
        <w:rPr>
          <w:rFonts w:ascii="Arial" w:hAnsi="Arial" w:cs="Arial"/>
        </w:rPr>
        <w:t xml:space="preserve">for </w:t>
      </w:r>
      <w:r w:rsidR="00BA2E03">
        <w:rPr>
          <w:rFonts w:ascii="Arial" w:hAnsi="Arial" w:cs="Arial"/>
        </w:rPr>
        <w:t>testing alternative methods. Arguably, the framework was less useful for evaluating project performance</w:t>
      </w:r>
      <w:r w:rsidR="00493134">
        <w:rPr>
          <w:rFonts w:ascii="Arial" w:hAnsi="Arial" w:cs="Arial"/>
        </w:rPr>
        <w:t xml:space="preserve">. </w:t>
      </w:r>
      <w:r w:rsidR="004F69BD">
        <w:rPr>
          <w:rFonts w:ascii="Arial" w:hAnsi="Arial" w:cs="Arial"/>
        </w:rPr>
        <w:t xml:space="preserve">Poor performance may be the result of poor design or missing out </w:t>
      </w:r>
      <w:r w:rsidR="001642D1">
        <w:rPr>
          <w:rFonts w:ascii="Arial" w:hAnsi="Arial" w:cs="Arial"/>
        </w:rPr>
        <w:t xml:space="preserve">a </w:t>
      </w:r>
      <w:r w:rsidR="004F69BD">
        <w:rPr>
          <w:rFonts w:ascii="Arial" w:hAnsi="Arial" w:cs="Arial"/>
        </w:rPr>
        <w:t xml:space="preserve">component of the scaling framework. </w:t>
      </w:r>
      <w:r w:rsidR="00FF72CD">
        <w:rPr>
          <w:rFonts w:ascii="Arial" w:hAnsi="Arial" w:cs="Arial"/>
        </w:rPr>
        <w:t xml:space="preserve">Here </w:t>
      </w:r>
      <w:r w:rsidR="004F69BD">
        <w:rPr>
          <w:rFonts w:ascii="Arial" w:hAnsi="Arial" w:cs="Arial"/>
        </w:rPr>
        <w:t xml:space="preserve">the framework can help identify what went wrong and </w:t>
      </w:r>
      <w:r w:rsidR="0099452A">
        <w:rPr>
          <w:rFonts w:ascii="Arial" w:hAnsi="Arial" w:cs="Arial"/>
        </w:rPr>
        <w:t xml:space="preserve">improve design </w:t>
      </w:r>
      <w:r w:rsidR="00FF72CD">
        <w:rPr>
          <w:rFonts w:ascii="Arial" w:hAnsi="Arial" w:cs="Arial"/>
        </w:rPr>
        <w:t xml:space="preserve">in the future. </w:t>
      </w:r>
      <w:r w:rsidR="004F69BD">
        <w:rPr>
          <w:rFonts w:ascii="Arial" w:hAnsi="Arial" w:cs="Arial"/>
        </w:rPr>
        <w:t xml:space="preserve">However, poor performance may also </w:t>
      </w:r>
      <w:r w:rsidR="0099452A">
        <w:rPr>
          <w:rFonts w:ascii="Arial" w:hAnsi="Arial" w:cs="Arial"/>
        </w:rPr>
        <w:t xml:space="preserve">result </w:t>
      </w:r>
      <w:r w:rsidR="00FF72CD">
        <w:rPr>
          <w:rFonts w:ascii="Arial" w:hAnsi="Arial" w:cs="Arial"/>
        </w:rPr>
        <w:t>from</w:t>
      </w:r>
      <w:r w:rsidR="0099452A">
        <w:rPr>
          <w:rFonts w:ascii="Arial" w:hAnsi="Arial" w:cs="Arial"/>
        </w:rPr>
        <w:t xml:space="preserve"> </w:t>
      </w:r>
      <w:r w:rsidR="00493134">
        <w:rPr>
          <w:rFonts w:ascii="Arial" w:hAnsi="Arial" w:cs="Arial"/>
        </w:rPr>
        <w:t xml:space="preserve">confounding factors outside the </w:t>
      </w:r>
      <w:r w:rsidR="00FF72CD">
        <w:rPr>
          <w:rFonts w:ascii="Arial" w:hAnsi="Arial" w:cs="Arial"/>
        </w:rPr>
        <w:t xml:space="preserve">control of the project and the scope of the framework. In assessing performance, the framework is less useful as a blueprint to grade projects in terms of </w:t>
      </w:r>
      <w:r w:rsidR="00D30A17">
        <w:rPr>
          <w:rFonts w:ascii="Arial" w:hAnsi="Arial" w:cs="Arial"/>
        </w:rPr>
        <w:t>‘</w:t>
      </w:r>
      <w:r w:rsidR="00FF72CD">
        <w:rPr>
          <w:rFonts w:ascii="Arial" w:hAnsi="Arial" w:cs="Arial"/>
        </w:rPr>
        <w:t>success</w:t>
      </w:r>
      <w:r w:rsidR="00D30A17">
        <w:rPr>
          <w:rFonts w:ascii="Arial" w:hAnsi="Arial" w:cs="Arial"/>
        </w:rPr>
        <w:t>’</w:t>
      </w:r>
      <w:r w:rsidR="00FF72CD">
        <w:rPr>
          <w:rFonts w:ascii="Arial" w:hAnsi="Arial" w:cs="Arial"/>
        </w:rPr>
        <w:t xml:space="preserve"> or </w:t>
      </w:r>
      <w:r w:rsidR="00D30A17">
        <w:rPr>
          <w:rFonts w:ascii="Arial" w:hAnsi="Arial" w:cs="Arial"/>
        </w:rPr>
        <w:t>‘</w:t>
      </w:r>
      <w:r w:rsidR="00FF72CD">
        <w:rPr>
          <w:rFonts w:ascii="Arial" w:hAnsi="Arial" w:cs="Arial"/>
        </w:rPr>
        <w:t>failure</w:t>
      </w:r>
      <w:r w:rsidR="00D30A17">
        <w:rPr>
          <w:rFonts w:ascii="Arial" w:hAnsi="Arial" w:cs="Arial"/>
        </w:rPr>
        <w:t>’</w:t>
      </w:r>
      <w:r w:rsidR="00FF72CD">
        <w:rPr>
          <w:rFonts w:ascii="Arial" w:hAnsi="Arial" w:cs="Arial"/>
        </w:rPr>
        <w:t xml:space="preserve"> than as an opportunity for learning.</w:t>
      </w:r>
      <w:r w:rsidR="00D30A17">
        <w:rPr>
          <w:rFonts w:ascii="Arial" w:hAnsi="Arial" w:cs="Arial"/>
        </w:rPr>
        <w:t xml:space="preserve"> Used in this spirit, the framework can identify useful lessons for future scaling projects.   </w:t>
      </w:r>
    </w:p>
    <w:p w14:paraId="5249CE14" w14:textId="38A6FAE1" w:rsidR="00D30A17" w:rsidRPr="009E5CFB" w:rsidRDefault="00D30A17" w:rsidP="00D30A17">
      <w:pPr>
        <w:pStyle w:val="Footer"/>
        <w:jc w:val="both"/>
        <w:rPr>
          <w:rFonts w:ascii="Arial" w:hAnsi="Arial" w:cs="Arial"/>
        </w:rPr>
      </w:pPr>
      <w:r>
        <w:rPr>
          <w:rFonts w:ascii="Arial" w:hAnsi="Arial" w:cs="Arial"/>
        </w:rPr>
        <w:t xml:space="preserve">Testing the framework against these four </w:t>
      </w:r>
      <w:r w:rsidR="00493134">
        <w:rPr>
          <w:rFonts w:ascii="Arial" w:hAnsi="Arial" w:cs="Arial"/>
        </w:rPr>
        <w:t>projects also exposed some gaps and limitations</w:t>
      </w:r>
      <w:r>
        <w:rPr>
          <w:rFonts w:ascii="Arial" w:hAnsi="Arial" w:cs="Arial"/>
        </w:rPr>
        <w:t xml:space="preserve">. We conclude with some recommendations to improve the usefulness of the framework </w:t>
      </w:r>
      <w:r w:rsidR="00B654AB">
        <w:rPr>
          <w:rFonts w:ascii="Arial" w:hAnsi="Arial" w:cs="Arial"/>
        </w:rPr>
        <w:t xml:space="preserve">for </w:t>
      </w:r>
      <w:proofErr w:type="gramStart"/>
      <w:r w:rsidR="00B654AB">
        <w:rPr>
          <w:rFonts w:ascii="Arial" w:hAnsi="Arial" w:cs="Arial"/>
        </w:rPr>
        <w:t xml:space="preserve">the </w:t>
      </w:r>
      <w:r>
        <w:rPr>
          <w:rFonts w:ascii="Arial" w:hAnsi="Arial" w:cs="Arial"/>
        </w:rPr>
        <w:t xml:space="preserve"> design</w:t>
      </w:r>
      <w:proofErr w:type="gramEnd"/>
      <w:r>
        <w:rPr>
          <w:rFonts w:ascii="Arial" w:hAnsi="Arial" w:cs="Arial"/>
        </w:rPr>
        <w:t xml:space="preserve"> of </w:t>
      </w:r>
      <w:r w:rsidR="00B654AB">
        <w:rPr>
          <w:rFonts w:ascii="Arial" w:hAnsi="Arial" w:cs="Arial"/>
        </w:rPr>
        <w:t xml:space="preserve">future </w:t>
      </w:r>
      <w:r>
        <w:rPr>
          <w:rFonts w:ascii="Arial" w:hAnsi="Arial" w:cs="Arial"/>
        </w:rPr>
        <w:t>scaling projects and the</w:t>
      </w:r>
      <w:r w:rsidR="00B654AB">
        <w:rPr>
          <w:rFonts w:ascii="Arial" w:hAnsi="Arial" w:cs="Arial"/>
        </w:rPr>
        <w:t xml:space="preserve"> e</w:t>
      </w:r>
      <w:r>
        <w:rPr>
          <w:rFonts w:ascii="Arial" w:hAnsi="Arial" w:cs="Arial"/>
        </w:rPr>
        <w:t xml:space="preserve">ffectiveness </w:t>
      </w:r>
      <w:r w:rsidR="00B654AB">
        <w:rPr>
          <w:rFonts w:ascii="Arial" w:hAnsi="Arial" w:cs="Arial"/>
        </w:rPr>
        <w:t xml:space="preserve">of </w:t>
      </w:r>
      <w:r>
        <w:rPr>
          <w:rFonts w:ascii="Arial" w:hAnsi="Arial" w:cs="Arial"/>
        </w:rPr>
        <w:t xml:space="preserve">the </w:t>
      </w:r>
      <w:r w:rsidRPr="009E5CFB">
        <w:rPr>
          <w:rFonts w:ascii="Arial" w:hAnsi="Arial" w:cs="Arial"/>
        </w:rPr>
        <w:t>GLDC program</w:t>
      </w:r>
      <w:r w:rsidR="00B654AB">
        <w:rPr>
          <w:rFonts w:ascii="Arial" w:hAnsi="Arial" w:cs="Arial"/>
        </w:rPr>
        <w:t xml:space="preserve"> in scaling new technology</w:t>
      </w:r>
      <w:r w:rsidRPr="009E5CFB">
        <w:rPr>
          <w:rFonts w:ascii="Arial" w:hAnsi="Arial" w:cs="Arial"/>
        </w:rPr>
        <w:t>.</w:t>
      </w:r>
    </w:p>
    <w:p w14:paraId="7015F881" w14:textId="77777777" w:rsidR="00D30A17" w:rsidRDefault="00D30A17" w:rsidP="002F4628">
      <w:pPr>
        <w:jc w:val="both"/>
        <w:rPr>
          <w:rFonts w:ascii="Arial" w:hAnsi="Arial" w:cs="Arial"/>
        </w:rPr>
      </w:pPr>
    </w:p>
    <w:p w14:paraId="5E46CD79" w14:textId="2A0BBA24" w:rsidR="00AE4D31" w:rsidRDefault="00AE4D31" w:rsidP="00D30A17">
      <w:pPr>
        <w:pStyle w:val="ListParagraph"/>
        <w:numPr>
          <w:ilvl w:val="0"/>
          <w:numId w:val="11"/>
        </w:numPr>
        <w:jc w:val="both"/>
        <w:rPr>
          <w:rFonts w:ascii="Arial" w:hAnsi="Arial" w:cs="Arial"/>
        </w:rPr>
      </w:pPr>
      <w:r w:rsidRPr="00AE4D31">
        <w:rPr>
          <w:rFonts w:ascii="Arial" w:hAnsi="Arial" w:cs="Arial"/>
          <w:b/>
          <w:bCs/>
        </w:rPr>
        <w:t>Transform the scaling framework into a tool</w:t>
      </w:r>
      <w:r>
        <w:rPr>
          <w:rFonts w:ascii="Arial" w:hAnsi="Arial" w:cs="Arial"/>
        </w:rPr>
        <w:t>.  A scaling framework toolkit would be based on the existing visualization but also provide users with information on context, a checklist of contents for the seven components, and examples of how to apply the framework to scaling projects.</w:t>
      </w:r>
    </w:p>
    <w:p w14:paraId="76F5BBF0" w14:textId="64F7CD4F" w:rsidR="00827FD7" w:rsidRDefault="00AE4D31" w:rsidP="00D30A17">
      <w:pPr>
        <w:pStyle w:val="ListParagraph"/>
        <w:numPr>
          <w:ilvl w:val="0"/>
          <w:numId w:val="11"/>
        </w:numPr>
        <w:jc w:val="both"/>
        <w:rPr>
          <w:rFonts w:ascii="Arial" w:hAnsi="Arial" w:cs="Arial"/>
        </w:rPr>
      </w:pPr>
      <w:r w:rsidRPr="00AE4D31">
        <w:rPr>
          <w:rFonts w:ascii="Arial" w:hAnsi="Arial" w:cs="Arial"/>
          <w:b/>
          <w:bCs/>
        </w:rPr>
        <w:t>Address gender and partnerships</w:t>
      </w:r>
      <w:r>
        <w:rPr>
          <w:rFonts w:ascii="Arial" w:hAnsi="Arial" w:cs="Arial"/>
        </w:rPr>
        <w:t xml:space="preserve">. These two important processes are either missing or receive insufficient emphasis in the visualization. </w:t>
      </w:r>
      <w:r w:rsidR="00CE53B0">
        <w:rPr>
          <w:rFonts w:ascii="Arial" w:hAnsi="Arial" w:cs="Arial"/>
        </w:rPr>
        <w:t xml:space="preserve">Yet they are critical for </w:t>
      </w:r>
      <w:r w:rsidR="00EC77B3">
        <w:rPr>
          <w:rFonts w:ascii="Arial" w:hAnsi="Arial" w:cs="Arial"/>
        </w:rPr>
        <w:t xml:space="preserve">the </w:t>
      </w:r>
      <w:r w:rsidR="00CE53B0">
        <w:rPr>
          <w:rFonts w:ascii="Arial" w:hAnsi="Arial" w:cs="Arial"/>
        </w:rPr>
        <w:t>scaling</w:t>
      </w:r>
      <w:r w:rsidR="00EC77B3">
        <w:rPr>
          <w:rFonts w:ascii="Arial" w:hAnsi="Arial" w:cs="Arial"/>
        </w:rPr>
        <w:t xml:space="preserve"> of GLDC crops which rely on partnerships to overcome market failures in the supply of certified seed, and on women </w:t>
      </w:r>
      <w:r w:rsidR="00765B67">
        <w:rPr>
          <w:rFonts w:ascii="Arial" w:hAnsi="Arial" w:cs="Arial"/>
        </w:rPr>
        <w:t xml:space="preserve">who are often responsible for these crops. </w:t>
      </w:r>
      <w:r w:rsidR="00827FD7">
        <w:rPr>
          <w:rFonts w:ascii="Arial" w:hAnsi="Arial" w:cs="Arial"/>
        </w:rPr>
        <w:t>The</w:t>
      </w:r>
      <w:r w:rsidR="00765B67">
        <w:rPr>
          <w:rFonts w:ascii="Arial" w:hAnsi="Arial" w:cs="Arial"/>
        </w:rPr>
        <w:t xml:space="preserve">se processes </w:t>
      </w:r>
      <w:r w:rsidR="00827FD7">
        <w:rPr>
          <w:rFonts w:ascii="Arial" w:hAnsi="Arial" w:cs="Arial"/>
        </w:rPr>
        <w:t xml:space="preserve">are best addressed as cross-cutting issues </w:t>
      </w:r>
      <w:r w:rsidR="00CE53B0">
        <w:rPr>
          <w:rFonts w:ascii="Arial" w:hAnsi="Arial" w:cs="Arial"/>
        </w:rPr>
        <w:t xml:space="preserve">rather than as separate components in the visualization. </w:t>
      </w:r>
    </w:p>
    <w:p w14:paraId="334FC191" w14:textId="252A3D4E" w:rsidR="00827FD7" w:rsidRDefault="00827FD7" w:rsidP="00D30A17">
      <w:pPr>
        <w:pStyle w:val="ListParagraph"/>
        <w:numPr>
          <w:ilvl w:val="0"/>
          <w:numId w:val="11"/>
        </w:numPr>
        <w:jc w:val="both"/>
        <w:rPr>
          <w:rFonts w:ascii="Arial" w:hAnsi="Arial" w:cs="Arial"/>
        </w:rPr>
      </w:pPr>
      <w:proofErr w:type="spellStart"/>
      <w:r w:rsidRPr="00827FD7">
        <w:rPr>
          <w:rFonts w:ascii="Arial" w:hAnsi="Arial" w:cs="Arial"/>
          <w:b/>
          <w:bCs/>
        </w:rPr>
        <w:t>Contextualise</w:t>
      </w:r>
      <w:proofErr w:type="spellEnd"/>
      <w:r w:rsidRPr="00827FD7">
        <w:rPr>
          <w:rFonts w:ascii="Arial" w:hAnsi="Arial" w:cs="Arial"/>
          <w:b/>
          <w:bCs/>
        </w:rPr>
        <w:t xml:space="preserve"> the </w:t>
      </w:r>
      <w:r>
        <w:rPr>
          <w:rFonts w:ascii="Arial" w:hAnsi="Arial" w:cs="Arial"/>
          <w:b/>
          <w:bCs/>
        </w:rPr>
        <w:t xml:space="preserve">scaling </w:t>
      </w:r>
      <w:r w:rsidRPr="00827FD7">
        <w:rPr>
          <w:rFonts w:ascii="Arial" w:hAnsi="Arial" w:cs="Arial"/>
          <w:b/>
          <w:bCs/>
        </w:rPr>
        <w:t>framework</w:t>
      </w:r>
      <w:r>
        <w:rPr>
          <w:rFonts w:ascii="Arial" w:hAnsi="Arial" w:cs="Arial"/>
        </w:rPr>
        <w:t xml:space="preserve">. The GLDC scaling framework embodies a specific model of the agricultural transformation, conceptualized as a transition from </w:t>
      </w:r>
      <w:r>
        <w:rPr>
          <w:rFonts w:ascii="Arial" w:hAnsi="Arial" w:cs="Arial"/>
        </w:rPr>
        <w:lastRenderedPageBreak/>
        <w:t xml:space="preserve">subsistence to commercial agriculture. Making this context explicit would clarify some assumptions in the framework and open the door to testing these assumptions through </w:t>
      </w:r>
      <w:r w:rsidR="00EC77B3">
        <w:rPr>
          <w:rFonts w:ascii="Arial" w:hAnsi="Arial" w:cs="Arial"/>
        </w:rPr>
        <w:t xml:space="preserve">the experience of </w:t>
      </w:r>
      <w:r>
        <w:rPr>
          <w:rFonts w:ascii="Arial" w:hAnsi="Arial" w:cs="Arial"/>
        </w:rPr>
        <w:t>scaling</w:t>
      </w:r>
      <w:r w:rsidR="001642D1">
        <w:rPr>
          <w:rFonts w:ascii="Arial" w:hAnsi="Arial" w:cs="Arial"/>
        </w:rPr>
        <w:t xml:space="preserve"> projects</w:t>
      </w:r>
      <w:r w:rsidR="00EC77B3">
        <w:rPr>
          <w:rFonts w:ascii="Arial" w:hAnsi="Arial" w:cs="Arial"/>
        </w:rPr>
        <w:t>.</w:t>
      </w:r>
    </w:p>
    <w:p w14:paraId="56807A14" w14:textId="28F547D5" w:rsidR="00E2378A" w:rsidRDefault="00827FD7" w:rsidP="00D30A17">
      <w:pPr>
        <w:pStyle w:val="ListParagraph"/>
        <w:numPr>
          <w:ilvl w:val="0"/>
          <w:numId w:val="11"/>
        </w:numPr>
        <w:jc w:val="both"/>
        <w:rPr>
          <w:rFonts w:ascii="Arial" w:hAnsi="Arial" w:cs="Arial"/>
        </w:rPr>
      </w:pPr>
      <w:r>
        <w:rPr>
          <w:rFonts w:ascii="Arial" w:hAnsi="Arial" w:cs="Arial"/>
          <w:b/>
          <w:bCs/>
        </w:rPr>
        <w:t xml:space="preserve">Use the framework to learn about scaling methods. </w:t>
      </w:r>
      <w:r w:rsidR="00E350EA" w:rsidRPr="00E350EA">
        <w:rPr>
          <w:rFonts w:ascii="Arial" w:hAnsi="Arial" w:cs="Arial"/>
        </w:rPr>
        <w:t>Mapping scaling methods</w:t>
      </w:r>
      <w:r w:rsidRPr="00E350EA">
        <w:rPr>
          <w:rFonts w:ascii="Arial" w:hAnsi="Arial" w:cs="Arial"/>
        </w:rPr>
        <w:t xml:space="preserve"> </w:t>
      </w:r>
      <w:r w:rsidR="00E350EA">
        <w:rPr>
          <w:rFonts w:ascii="Arial" w:hAnsi="Arial" w:cs="Arial"/>
        </w:rPr>
        <w:t xml:space="preserve">against the seven components can help identify opportunities to compare the effectiveness of alternative methods or suggest </w:t>
      </w:r>
      <w:r w:rsidR="00B7573C">
        <w:rPr>
          <w:rFonts w:ascii="Arial" w:hAnsi="Arial" w:cs="Arial"/>
        </w:rPr>
        <w:t xml:space="preserve">the need for </w:t>
      </w:r>
      <w:r w:rsidR="00E350EA">
        <w:rPr>
          <w:rFonts w:ascii="Arial" w:hAnsi="Arial" w:cs="Arial"/>
        </w:rPr>
        <w:t xml:space="preserve">new methods of scaling. </w:t>
      </w:r>
      <w:r w:rsidR="004C00C2">
        <w:rPr>
          <w:rFonts w:ascii="Arial" w:hAnsi="Arial" w:cs="Arial"/>
        </w:rPr>
        <w:t>Designing r</w:t>
      </w:r>
      <w:r w:rsidR="00E2378A">
        <w:rPr>
          <w:rFonts w:ascii="Arial" w:hAnsi="Arial" w:cs="Arial"/>
        </w:rPr>
        <w:t xml:space="preserve">esearch into these methods can add value to scaling projects. </w:t>
      </w:r>
    </w:p>
    <w:p w14:paraId="392D44D7" w14:textId="7BBBFBE4" w:rsidR="00A949FE" w:rsidRDefault="00CE53B0" w:rsidP="00B7573C">
      <w:pPr>
        <w:jc w:val="both"/>
        <w:rPr>
          <w:rFonts w:ascii="Arial" w:hAnsi="Arial" w:cs="Arial"/>
        </w:rPr>
      </w:pPr>
      <w:r w:rsidRPr="00CE53B0">
        <w:rPr>
          <w:rFonts w:ascii="Arial" w:hAnsi="Arial" w:cs="Arial"/>
        </w:rPr>
        <w:t>In sum, the scaling framework</w:t>
      </w:r>
      <w:r>
        <w:rPr>
          <w:rFonts w:ascii="Arial" w:hAnsi="Arial" w:cs="Arial"/>
        </w:rPr>
        <w:t xml:space="preserve"> </w:t>
      </w:r>
      <w:r w:rsidR="00A949FE">
        <w:rPr>
          <w:rFonts w:ascii="Arial" w:hAnsi="Arial" w:cs="Arial"/>
        </w:rPr>
        <w:t xml:space="preserve">is already useful </w:t>
      </w:r>
      <w:r w:rsidR="00765B67">
        <w:rPr>
          <w:rFonts w:ascii="Arial" w:hAnsi="Arial" w:cs="Arial"/>
        </w:rPr>
        <w:t xml:space="preserve">at </w:t>
      </w:r>
      <w:r w:rsidR="000077A8">
        <w:rPr>
          <w:rFonts w:ascii="Arial" w:hAnsi="Arial" w:cs="Arial"/>
        </w:rPr>
        <w:t xml:space="preserve">several </w:t>
      </w:r>
      <w:r w:rsidR="00EC77B3">
        <w:rPr>
          <w:rFonts w:ascii="Arial" w:hAnsi="Arial" w:cs="Arial"/>
        </w:rPr>
        <w:t>stages of the GLDC program.</w:t>
      </w:r>
      <w:r w:rsidR="00B7573C">
        <w:rPr>
          <w:rFonts w:ascii="Arial" w:hAnsi="Arial" w:cs="Arial"/>
        </w:rPr>
        <w:t xml:space="preserve"> </w:t>
      </w:r>
      <w:r w:rsidR="00A949FE">
        <w:rPr>
          <w:rFonts w:ascii="Arial" w:hAnsi="Arial" w:cs="Arial"/>
        </w:rPr>
        <w:t xml:space="preserve">However, it has the potential to become </w:t>
      </w:r>
      <w:r w:rsidR="00D67FD8">
        <w:rPr>
          <w:rFonts w:ascii="Arial" w:hAnsi="Arial" w:cs="Arial"/>
        </w:rPr>
        <w:t xml:space="preserve">something </w:t>
      </w:r>
      <w:r w:rsidR="00A949FE">
        <w:rPr>
          <w:rFonts w:ascii="Arial" w:hAnsi="Arial" w:cs="Arial"/>
        </w:rPr>
        <w:t xml:space="preserve">more. As part of a </w:t>
      </w:r>
      <w:r w:rsidR="00871ED6">
        <w:rPr>
          <w:rFonts w:ascii="Arial" w:hAnsi="Arial" w:cs="Arial"/>
        </w:rPr>
        <w:t>fully</w:t>
      </w:r>
      <w:r w:rsidR="00B654AB">
        <w:rPr>
          <w:rFonts w:ascii="Arial" w:hAnsi="Arial" w:cs="Arial"/>
        </w:rPr>
        <w:t xml:space="preserve"> – </w:t>
      </w:r>
      <w:r w:rsidR="00871ED6">
        <w:rPr>
          <w:rFonts w:ascii="Arial" w:hAnsi="Arial" w:cs="Arial"/>
        </w:rPr>
        <w:t xml:space="preserve">developed </w:t>
      </w:r>
      <w:r w:rsidR="00A949FE">
        <w:rPr>
          <w:rFonts w:ascii="Arial" w:hAnsi="Arial" w:cs="Arial"/>
        </w:rPr>
        <w:t xml:space="preserve">toolkit, the framework can </w:t>
      </w:r>
      <w:r w:rsidR="00FD7E36">
        <w:rPr>
          <w:rFonts w:ascii="Arial" w:hAnsi="Arial" w:cs="Arial"/>
        </w:rPr>
        <w:t xml:space="preserve">provide a practical guide to the realities of scaling with </w:t>
      </w:r>
      <w:r w:rsidR="007518AD">
        <w:rPr>
          <w:rFonts w:ascii="Arial" w:hAnsi="Arial" w:cs="Arial"/>
        </w:rPr>
        <w:t xml:space="preserve">a </w:t>
      </w:r>
      <w:r w:rsidR="00FD7E36">
        <w:rPr>
          <w:rFonts w:ascii="Arial" w:hAnsi="Arial" w:cs="Arial"/>
        </w:rPr>
        <w:t xml:space="preserve">relevance beyond the GLDC program. </w:t>
      </w:r>
    </w:p>
    <w:p w14:paraId="37D47B14" w14:textId="77777777" w:rsidR="00A949FE" w:rsidRDefault="00A949FE" w:rsidP="00B7573C">
      <w:pPr>
        <w:jc w:val="both"/>
        <w:rPr>
          <w:rFonts w:ascii="Arial" w:hAnsi="Arial" w:cs="Arial"/>
        </w:rPr>
      </w:pPr>
    </w:p>
    <w:p w14:paraId="4A310043" w14:textId="77777777" w:rsidR="00FD7E36" w:rsidRDefault="00FD7E36">
      <w:pPr>
        <w:rPr>
          <w:rFonts w:ascii="Arial" w:hAnsi="Arial" w:cs="Arial"/>
          <w:b/>
          <w:bCs/>
        </w:rPr>
      </w:pPr>
      <w:r>
        <w:rPr>
          <w:rFonts w:ascii="Arial" w:hAnsi="Arial" w:cs="Arial"/>
          <w:b/>
          <w:bCs/>
        </w:rPr>
        <w:br w:type="page"/>
      </w:r>
    </w:p>
    <w:p w14:paraId="1C49CAE1" w14:textId="489D00B5" w:rsidR="006841E7" w:rsidRPr="00472760" w:rsidRDefault="006841E7" w:rsidP="00472760">
      <w:pPr>
        <w:jc w:val="center"/>
        <w:rPr>
          <w:rFonts w:ascii="Arial" w:hAnsi="Arial" w:cs="Arial"/>
          <w:b/>
          <w:bCs/>
        </w:rPr>
      </w:pPr>
      <w:r w:rsidRPr="00472760">
        <w:rPr>
          <w:rFonts w:ascii="Arial" w:hAnsi="Arial" w:cs="Arial"/>
          <w:b/>
          <w:bCs/>
        </w:rPr>
        <w:lastRenderedPageBreak/>
        <w:t>References</w:t>
      </w:r>
    </w:p>
    <w:p w14:paraId="3B898F6E" w14:textId="746D6FA5" w:rsidR="005D6321" w:rsidRPr="005D6321" w:rsidRDefault="005D6321" w:rsidP="005D6321">
      <w:pPr>
        <w:spacing w:after="200" w:line="240" w:lineRule="auto"/>
        <w:jc w:val="center"/>
        <w:rPr>
          <w:rFonts w:ascii="Arial" w:hAnsi="Arial" w:cs="Arial"/>
          <w:color w:val="FF0000"/>
        </w:rPr>
      </w:pPr>
      <w:r w:rsidRPr="005D6321">
        <w:rPr>
          <w:rFonts w:ascii="Arial" w:hAnsi="Arial" w:cs="Arial"/>
          <w:color w:val="FF0000"/>
        </w:rPr>
        <w:t>MISSING REFERENCES IN RED</w:t>
      </w:r>
    </w:p>
    <w:p w14:paraId="15BD2ACB" w14:textId="0B078BC4" w:rsidR="001D5DBC" w:rsidRPr="00F971EE" w:rsidRDefault="001D5DBC" w:rsidP="00F971EE">
      <w:pPr>
        <w:spacing w:after="200" w:line="240" w:lineRule="auto"/>
        <w:jc w:val="both"/>
        <w:rPr>
          <w:rFonts w:ascii="Arial" w:hAnsi="Arial" w:cs="Arial"/>
        </w:rPr>
      </w:pPr>
      <w:proofErr w:type="spellStart"/>
      <w:r w:rsidRPr="00F971EE">
        <w:rPr>
          <w:rFonts w:ascii="Arial" w:hAnsi="Arial" w:cs="Arial"/>
        </w:rPr>
        <w:t>Akinwale</w:t>
      </w:r>
      <w:proofErr w:type="spellEnd"/>
      <w:r w:rsidRPr="00F971EE">
        <w:rPr>
          <w:rFonts w:ascii="Arial" w:hAnsi="Arial" w:cs="Arial"/>
        </w:rPr>
        <w:t xml:space="preserve">, M. G., </w:t>
      </w:r>
      <w:proofErr w:type="spellStart"/>
      <w:r w:rsidRPr="00F971EE">
        <w:rPr>
          <w:rFonts w:ascii="Arial" w:hAnsi="Arial" w:cs="Arial"/>
        </w:rPr>
        <w:t>Malita</w:t>
      </w:r>
      <w:proofErr w:type="spellEnd"/>
      <w:r w:rsidRPr="00F971EE">
        <w:rPr>
          <w:rFonts w:ascii="Arial" w:hAnsi="Arial" w:cs="Arial"/>
        </w:rPr>
        <w:t xml:space="preserve">, C., </w:t>
      </w:r>
      <w:proofErr w:type="spellStart"/>
      <w:r w:rsidRPr="00F971EE">
        <w:rPr>
          <w:rFonts w:ascii="Arial" w:hAnsi="Arial" w:cs="Arial"/>
        </w:rPr>
        <w:t>Hufa</w:t>
      </w:r>
      <w:proofErr w:type="spellEnd"/>
      <w:r w:rsidRPr="00F971EE">
        <w:rPr>
          <w:rFonts w:ascii="Arial" w:hAnsi="Arial" w:cs="Arial"/>
        </w:rPr>
        <w:t xml:space="preserve">, A. H., </w:t>
      </w:r>
      <w:proofErr w:type="spellStart"/>
      <w:r w:rsidRPr="00F971EE">
        <w:rPr>
          <w:rFonts w:ascii="Arial" w:hAnsi="Arial" w:cs="Arial"/>
        </w:rPr>
        <w:t>Chigeza</w:t>
      </w:r>
      <w:proofErr w:type="spellEnd"/>
      <w:r w:rsidRPr="00F971EE">
        <w:rPr>
          <w:rFonts w:ascii="Arial" w:hAnsi="Arial" w:cs="Arial"/>
        </w:rPr>
        <w:t xml:space="preserve">, G., </w:t>
      </w:r>
      <w:proofErr w:type="spellStart"/>
      <w:r w:rsidRPr="00F971EE">
        <w:rPr>
          <w:rFonts w:ascii="Arial" w:hAnsi="Arial" w:cs="Arial"/>
        </w:rPr>
        <w:t>Engoke</w:t>
      </w:r>
      <w:proofErr w:type="spellEnd"/>
      <w:r w:rsidRPr="00F971EE">
        <w:rPr>
          <w:rFonts w:ascii="Arial" w:hAnsi="Arial" w:cs="Arial"/>
        </w:rPr>
        <w:t xml:space="preserve">, C., Manda, J., Mhango, J. K., </w:t>
      </w:r>
      <w:proofErr w:type="spellStart"/>
      <w:r w:rsidRPr="00F971EE">
        <w:rPr>
          <w:rFonts w:ascii="Arial" w:hAnsi="Arial" w:cs="Arial"/>
        </w:rPr>
        <w:t>Boahen</w:t>
      </w:r>
      <w:proofErr w:type="spellEnd"/>
      <w:r w:rsidRPr="00F971EE">
        <w:rPr>
          <w:rFonts w:ascii="Arial" w:hAnsi="Arial" w:cs="Arial"/>
        </w:rPr>
        <w:t xml:space="preserve">, S., &amp; Alene, A. (2016). </w:t>
      </w:r>
      <w:r w:rsidRPr="00F971EE">
        <w:rPr>
          <w:rFonts w:ascii="Arial" w:hAnsi="Arial" w:cs="Arial"/>
          <w:i/>
        </w:rPr>
        <w:t>Scaling up improved seed and agronomic practices in southern Africa</w:t>
      </w:r>
      <w:r w:rsidRPr="00F971EE">
        <w:rPr>
          <w:rFonts w:ascii="Arial" w:hAnsi="Arial" w:cs="Arial"/>
        </w:rPr>
        <w:t>. IITA. Available at: https://www.slideshare.net/IITA-CO/scaling-up-improved-seed-and-agronomic-practices-in-southern-africa [Accessed June 21, 2019]</w:t>
      </w:r>
    </w:p>
    <w:p w14:paraId="3D06F53B" w14:textId="0474DAEE" w:rsidR="006841E7" w:rsidRPr="00F971EE" w:rsidRDefault="006841E7" w:rsidP="00F971EE">
      <w:pPr>
        <w:jc w:val="both"/>
        <w:rPr>
          <w:rFonts w:ascii="Arial" w:hAnsi="Arial" w:cs="Arial"/>
        </w:rPr>
      </w:pPr>
      <w:r w:rsidRPr="00F971EE">
        <w:rPr>
          <w:rFonts w:ascii="Arial" w:hAnsi="Arial" w:cs="Arial"/>
        </w:rPr>
        <w:t xml:space="preserve">Anderson, J. </w:t>
      </w:r>
      <w:r w:rsidR="00B43788" w:rsidRPr="00F971EE">
        <w:rPr>
          <w:rFonts w:ascii="Arial" w:hAnsi="Arial" w:cs="Arial"/>
        </w:rPr>
        <w:t>R</w:t>
      </w:r>
      <w:r w:rsidRPr="00F971EE">
        <w:rPr>
          <w:rFonts w:ascii="Arial" w:hAnsi="Arial" w:cs="Arial"/>
        </w:rPr>
        <w:t xml:space="preserve">. (1992). </w:t>
      </w:r>
      <w:r w:rsidRPr="00F971EE">
        <w:rPr>
          <w:rFonts w:ascii="Arial" w:eastAsia="Times New Roman" w:hAnsi="Arial" w:cs="Arial"/>
          <w:kern w:val="36"/>
          <w:lang w:eastAsia="en-GB"/>
        </w:rPr>
        <w:t xml:space="preserve">Difficulties in African agricultural systems enhancement? Ten hypotheses, </w:t>
      </w:r>
      <w:hyperlink r:id="rId9" w:tooltip="Go to Agricultural Systems on ScienceDirect" w:history="1">
        <w:r w:rsidRPr="00F971EE">
          <w:rPr>
            <w:rStyle w:val="Hyperlink"/>
            <w:rFonts w:ascii="Arial" w:hAnsi="Arial" w:cs="Arial"/>
            <w:i/>
            <w:iCs/>
            <w:color w:val="auto"/>
            <w:u w:val="none"/>
          </w:rPr>
          <w:t>Agricultural Systems</w:t>
        </w:r>
      </w:hyperlink>
      <w:r w:rsidRPr="00F971EE">
        <w:rPr>
          <w:rFonts w:ascii="Arial" w:hAnsi="Arial" w:cs="Arial"/>
        </w:rPr>
        <w:t>, 38 (4): 387-409.</w:t>
      </w:r>
    </w:p>
    <w:p w14:paraId="5334730C" w14:textId="76DAE6CA" w:rsidR="00A863EF" w:rsidRPr="00F971EE" w:rsidRDefault="0071461D" w:rsidP="00F971EE">
      <w:pPr>
        <w:jc w:val="both"/>
        <w:rPr>
          <w:rFonts w:ascii="Arial" w:hAnsi="Arial" w:cs="Arial"/>
        </w:rPr>
      </w:pPr>
      <w:r w:rsidRPr="00F971EE">
        <w:rPr>
          <w:rFonts w:ascii="Arial" w:hAnsi="Arial" w:cs="Arial"/>
        </w:rPr>
        <w:t xml:space="preserve">Bentley, J. W., Barea, O., </w:t>
      </w:r>
      <w:proofErr w:type="spellStart"/>
      <w:r w:rsidRPr="00F971EE">
        <w:rPr>
          <w:rFonts w:ascii="Arial" w:hAnsi="Arial" w:cs="Arial"/>
        </w:rPr>
        <w:t>Priou</w:t>
      </w:r>
      <w:proofErr w:type="spellEnd"/>
      <w:r w:rsidRPr="00F971EE">
        <w:rPr>
          <w:rFonts w:ascii="Arial" w:hAnsi="Arial" w:cs="Arial"/>
        </w:rPr>
        <w:t xml:space="preserve">, S., </w:t>
      </w:r>
      <w:proofErr w:type="spellStart"/>
      <w:r w:rsidRPr="00F971EE">
        <w:rPr>
          <w:rFonts w:ascii="Arial" w:hAnsi="Arial" w:cs="Arial"/>
        </w:rPr>
        <w:t>Equise</w:t>
      </w:r>
      <w:proofErr w:type="spellEnd"/>
      <w:r w:rsidRPr="00F971EE">
        <w:rPr>
          <w:rFonts w:ascii="Arial" w:hAnsi="Arial" w:cs="Arial"/>
        </w:rPr>
        <w:t xml:space="preserve">, H., and Thiele, G. (2007). Comparing Farmer Field Schools, Community Workshops, and Radio: Teaching Bolivian Farmers about Bacterial Wilt of Potato. </w:t>
      </w:r>
      <w:r w:rsidRPr="00F971EE">
        <w:rPr>
          <w:rFonts w:ascii="Arial" w:hAnsi="Arial" w:cs="Arial"/>
          <w:i/>
          <w:iCs/>
        </w:rPr>
        <w:t>Journal of International Agricultural and Extension Education</w:t>
      </w:r>
      <w:r w:rsidRPr="00F971EE">
        <w:rPr>
          <w:rFonts w:ascii="Arial" w:hAnsi="Arial" w:cs="Arial"/>
        </w:rPr>
        <w:t xml:space="preserve"> 14(3): 45-61</w:t>
      </w:r>
      <w:r w:rsidR="00A863EF" w:rsidRPr="00F971EE">
        <w:rPr>
          <w:rFonts w:ascii="Arial" w:hAnsi="Arial" w:cs="Arial"/>
        </w:rPr>
        <w:t>.</w:t>
      </w:r>
    </w:p>
    <w:p w14:paraId="1E2E7212" w14:textId="1B9F4125" w:rsidR="00A863EF" w:rsidRPr="00F971EE" w:rsidRDefault="00A863EF" w:rsidP="00F971EE">
      <w:pPr>
        <w:jc w:val="both"/>
        <w:rPr>
          <w:rFonts w:ascii="Arial" w:hAnsi="Arial" w:cs="Arial"/>
          <w:color w:val="FF0000"/>
        </w:rPr>
      </w:pPr>
      <w:r w:rsidRPr="00F971EE">
        <w:rPr>
          <w:rFonts w:ascii="Arial" w:hAnsi="Arial" w:cs="Arial"/>
          <w:color w:val="FF0000"/>
        </w:rPr>
        <w:t xml:space="preserve">Bernhardt </w:t>
      </w:r>
      <w:r w:rsidR="005D6321">
        <w:rPr>
          <w:rFonts w:ascii="Arial" w:hAnsi="Arial" w:cs="Arial"/>
          <w:color w:val="FF0000"/>
        </w:rPr>
        <w:t>(</w:t>
      </w:r>
      <w:r w:rsidRPr="00F971EE">
        <w:rPr>
          <w:rFonts w:ascii="Arial" w:hAnsi="Arial" w:cs="Arial"/>
          <w:color w:val="FF0000"/>
        </w:rPr>
        <w:t>2016</w:t>
      </w:r>
      <w:r w:rsidR="005D6321">
        <w:rPr>
          <w:rFonts w:ascii="Arial" w:hAnsi="Arial" w:cs="Arial"/>
          <w:color w:val="FF0000"/>
        </w:rPr>
        <w:t>)</w:t>
      </w:r>
      <w:r w:rsidRPr="00F971EE">
        <w:rPr>
          <w:rFonts w:ascii="Arial" w:hAnsi="Arial" w:cs="Arial"/>
          <w:color w:val="FF0000"/>
        </w:rPr>
        <w:t xml:space="preserve">. </w:t>
      </w:r>
    </w:p>
    <w:p w14:paraId="35A06341" w14:textId="4792E090" w:rsidR="0020786D" w:rsidRPr="00F971EE" w:rsidRDefault="0020786D" w:rsidP="00F971EE">
      <w:pPr>
        <w:jc w:val="both"/>
        <w:rPr>
          <w:rFonts w:ascii="Arial" w:hAnsi="Arial" w:cs="Arial"/>
          <w:color w:val="FF0000"/>
        </w:rPr>
      </w:pPr>
      <w:r w:rsidRPr="00F971EE">
        <w:rPr>
          <w:rFonts w:ascii="Arial" w:hAnsi="Arial" w:cs="Arial"/>
          <w:color w:val="FF0000"/>
        </w:rPr>
        <w:fldChar w:fldCharType="begin" w:fldLock="1"/>
      </w:r>
      <w:r w:rsidRPr="00F971EE">
        <w:rPr>
          <w:rFonts w:ascii="Arial" w:hAnsi="Arial" w:cs="Arial"/>
          <w:color w:val="FF0000"/>
        </w:rPr>
        <w:instrText>ADDIN CSL_CITATION { "citationItems" : [ { "id" : "ITEM-1", "itemData" : { "DOI" : "10.1080/13892240903309595", "ISSN" : "1389-224X", "abstract" : "Abstract The article provides a conceptual framework and discusses research methods for analyzing pluralistic agricultural advisory services. The framework can also assist policy-makers in identifying reform options. It addresses the following question: Which forms of providing and financing agricultural advisory services work best in which situation? The framework ?disentangles? agricultural advisory services by distinguishing between (1) governance structures, (2) capacity, (3) management, and (4) advisory methods. The framework suggests an impact chain approach to analyze the performance and impact of agricultural advisory services and discusses theoretical and empirical research methods that can be used when applying the framework. The framework shows that reforms of agricultural advisory services can combine different reform elements?such as decentralization, contracting out, using new advisory methods, and changing the management style?in different ways so as to best fit local circumstances. Using a New Institutional Economics approach (transaction costs approach), the article shows that the following sets of contextual factors need to be considered in this regard: the policy environment; the capacity of potential service providers; the type of production systems and market access of farm households; and the characteristics of local communities. The framework can be used to develop assessment tools for agricultural advisory services, to inform processes of reforming of agricultural advisory services and to guide inter-disciplinary research. The framework is unique in combining the insights from different disciplines, which have, so far, been treated separately in the literature. The framework can help policy-makers and analysts to move from ?ideological? discussions on reform models to an evidence-based ?best fit? approach.", "author" : [ { "dropping-particle" : "", "family" : "Birner", "given" : "Regina", "non-dropping-particle" : "", "parse-names" : false, "suffix" : "" }, { "dropping-particle" : "", "family" : "Davis", "given" : "Kristin", "non-dropping-particle" : "", "parse-names" : false, "suffix" : "" }, { "dropping-particle" : "", "family" : "Pender", "given" : "John", "non-dropping-particle" : "", "parse-names" : false, "suffix" : "" }, { "dropping-particle" : "", "family" : "Nkonya", "given" : "Ephraim", "non-dropping-particle" : "", "parse-names" : false, "suffix" : "" }, { "dropping-particle" : "", "family" : "Anandajayasekeram", "given" : "Ponniah", "non-dropping-particle" : "", "parse-names" : false, "suffix" : "" }, { "dropping-particle" : "", "family" : "Ekboir", "given" : "Javier", "non-dropping-particle" : "", "parse-names" : false, "suffix" : "" }, { "dropping-particle" : "", "family" : "Mbabu", "given" : "Adiel", "non-dropping-particle" : "", "parse-names" : false, "suffix" : "" }, { "dropping-particle" : "", "family" : "Spielman", "given" : "David J", "non-dropping-particle" : "", "parse-names" : false, "suffix" : "" }, { "dropping-particle" : "", "family" : "Horna", "given" : "Daniela", "non-dropping-particle" : "", "parse-names" : false, "suffix" : "" }, { "dropping-particle" : "", "family" : "Benin", "given" : "Samuel", "non-dropping-particle" : "", "parse-names" : false, "suffix" : "" }, { "dropping-particle" : "", "family" : "Cohen", "given" : "Marc", "non-dropping-particle" : "", "parse-names" : false, "suffix" : "" } ], "container-title" : "The Journal of Agricultural Education and Extension", "id" : "ITEM-1", "issue" : "4", "issued" : { "date-parts" : [ [ "2009", "12", "1" ] ] }, "note" : "doi: 10.1080/13892240903309595", "page" : "341-355", "publisher" : "Routledge", "title" : "From Best Practice to Best Fit: A Framework for Designing and Analyzing Pluralistic Agricultural Advisory Services Worldwide", "type" : "article-journal", "volume" : "15" }, "uris" : [ "http://www.mendeley.com/documents/?uuid=aa864fb4-d6dc-4185-ac71-e449f292a22a" ] } ], "mendeley" : { "formattedCitation" : "(Birner et al., 2009)", "plainTextFormattedCitation" : "(Birner et al., 2009)", "previouslyFormattedCitation" : "(Birner et al., 2009)" }, "properties" : { "noteIndex" : 0 }, "schema" : "https://github.com/citation-style-language/schema/raw/master/csl-citation.json" }</w:instrText>
      </w:r>
      <w:r w:rsidRPr="00F971EE">
        <w:rPr>
          <w:rFonts w:ascii="Arial" w:hAnsi="Arial" w:cs="Arial"/>
          <w:color w:val="FF0000"/>
        </w:rPr>
        <w:fldChar w:fldCharType="separate"/>
      </w:r>
      <w:r w:rsidRPr="00F971EE">
        <w:rPr>
          <w:rFonts w:ascii="Arial" w:hAnsi="Arial" w:cs="Arial"/>
          <w:noProof/>
          <w:color w:val="FF0000"/>
        </w:rPr>
        <w:t>(Birner et al., 2009)</w:t>
      </w:r>
      <w:r w:rsidRPr="00F971EE">
        <w:rPr>
          <w:rFonts w:ascii="Arial" w:hAnsi="Arial" w:cs="Arial"/>
          <w:color w:val="FF0000"/>
        </w:rPr>
        <w:fldChar w:fldCharType="end"/>
      </w:r>
      <w:r w:rsidRPr="00F971EE">
        <w:rPr>
          <w:rFonts w:ascii="Arial" w:hAnsi="Arial" w:cs="Arial"/>
          <w:color w:val="FF0000"/>
        </w:rPr>
        <w:t xml:space="preserve"> </w:t>
      </w:r>
    </w:p>
    <w:p w14:paraId="1AA70877" w14:textId="2DE1AA6B" w:rsidR="007475A0" w:rsidRPr="00F971EE" w:rsidRDefault="007475A0" w:rsidP="00F971EE">
      <w:pPr>
        <w:tabs>
          <w:tab w:val="left" w:pos="1200"/>
        </w:tabs>
        <w:jc w:val="both"/>
        <w:rPr>
          <w:rStyle w:val="A7"/>
          <w:rFonts w:ascii="Arial" w:hAnsi="Arial" w:cs="Arial"/>
          <w:bCs/>
        </w:rPr>
      </w:pPr>
      <w:r w:rsidRPr="00F971EE">
        <w:rPr>
          <w:rStyle w:val="A7"/>
          <w:rFonts w:ascii="Arial" w:hAnsi="Arial" w:cs="Arial"/>
        </w:rPr>
        <w:t>Brooks, S. (2013).</w:t>
      </w:r>
      <w:r w:rsidRPr="00F971EE">
        <w:rPr>
          <w:rStyle w:val="A7"/>
          <w:rFonts w:ascii="Arial" w:hAnsi="Arial" w:cs="Arial"/>
          <w:b/>
          <w:bCs/>
        </w:rPr>
        <w:t xml:space="preserve"> </w:t>
      </w:r>
      <w:r w:rsidRPr="00F971EE">
        <w:rPr>
          <w:rStyle w:val="A7"/>
          <w:rFonts w:ascii="Arial" w:hAnsi="Arial" w:cs="Arial"/>
          <w:bCs/>
        </w:rPr>
        <w:t xml:space="preserve">Investing in Food Security? </w:t>
      </w:r>
      <w:proofErr w:type="spellStart"/>
      <w:r w:rsidRPr="00F971EE">
        <w:rPr>
          <w:rStyle w:val="A7"/>
          <w:rFonts w:ascii="Arial" w:hAnsi="Arial" w:cs="Arial"/>
          <w:bCs/>
        </w:rPr>
        <w:t>Philanthrocapitalism</w:t>
      </w:r>
      <w:proofErr w:type="spellEnd"/>
      <w:r w:rsidRPr="00F971EE">
        <w:rPr>
          <w:rStyle w:val="A7"/>
          <w:rFonts w:ascii="Arial" w:hAnsi="Arial" w:cs="Arial"/>
          <w:bCs/>
        </w:rPr>
        <w:t xml:space="preserve">, biotechnology and development. SPRU Working Paper Series SWPS 2013-12. November. </w:t>
      </w:r>
      <w:hyperlink r:id="rId10" w:history="1">
        <w:r w:rsidRPr="00F971EE">
          <w:rPr>
            <w:rStyle w:val="Hyperlink"/>
            <w:rFonts w:ascii="Arial" w:hAnsi="Arial" w:cs="Arial"/>
            <w:bCs/>
          </w:rPr>
          <w:t>https://papers.ssrn.com/sol3/papers.cfm?abstract_id=2736850</w:t>
        </w:r>
      </w:hyperlink>
    </w:p>
    <w:p w14:paraId="5DB7D1FC" w14:textId="54E25C9B" w:rsidR="0020786D" w:rsidRPr="00F971EE" w:rsidRDefault="0020786D" w:rsidP="00F971EE">
      <w:pPr>
        <w:jc w:val="both"/>
        <w:rPr>
          <w:rFonts w:ascii="Arial" w:hAnsi="Arial" w:cs="Arial"/>
          <w:noProof/>
          <w:color w:val="FF0000"/>
        </w:rPr>
      </w:pPr>
      <w:r w:rsidRPr="00F971EE">
        <w:rPr>
          <w:rFonts w:ascii="Arial" w:hAnsi="Arial" w:cs="Arial"/>
          <w:noProof/>
          <w:color w:val="FF0000"/>
        </w:rPr>
        <w:t xml:space="preserve">Campenhout, </w:t>
      </w:r>
      <w:r w:rsidR="005D6321">
        <w:rPr>
          <w:rFonts w:ascii="Arial" w:hAnsi="Arial" w:cs="Arial"/>
          <w:noProof/>
          <w:color w:val="FF0000"/>
        </w:rPr>
        <w:t>(</w:t>
      </w:r>
      <w:r w:rsidRPr="00F971EE">
        <w:rPr>
          <w:rFonts w:ascii="Arial" w:hAnsi="Arial" w:cs="Arial"/>
          <w:noProof/>
          <w:color w:val="FF0000"/>
        </w:rPr>
        <w:t>2019</w:t>
      </w:r>
      <w:r w:rsidR="005D6321">
        <w:rPr>
          <w:rFonts w:ascii="Arial" w:hAnsi="Arial" w:cs="Arial"/>
          <w:noProof/>
          <w:color w:val="FF0000"/>
        </w:rPr>
        <w:t>)</w:t>
      </w:r>
      <w:r w:rsidRPr="00F971EE">
        <w:rPr>
          <w:rFonts w:ascii="Arial" w:hAnsi="Arial" w:cs="Arial"/>
          <w:noProof/>
          <w:color w:val="FF0000"/>
        </w:rPr>
        <w:t>;</w:t>
      </w:r>
    </w:p>
    <w:p w14:paraId="37897D46" w14:textId="2641867A" w:rsidR="000F3003" w:rsidRPr="00F971EE" w:rsidRDefault="000F3003" w:rsidP="00F971EE">
      <w:pPr>
        <w:jc w:val="both"/>
        <w:rPr>
          <w:rFonts w:ascii="Arial" w:hAnsi="Arial" w:cs="Arial"/>
          <w:color w:val="FF0000"/>
        </w:rPr>
      </w:pPr>
      <w:r w:rsidRPr="00F971EE">
        <w:rPr>
          <w:rFonts w:ascii="Arial" w:hAnsi="Arial" w:cs="Arial"/>
          <w:color w:val="FF0000"/>
        </w:rPr>
        <w:t>CGIAR, 2018). Scaling Diagram reference.</w:t>
      </w:r>
    </w:p>
    <w:p w14:paraId="755FD0BC" w14:textId="77777777" w:rsidR="00430BAD" w:rsidRPr="00D768C9" w:rsidRDefault="00430BAD" w:rsidP="00430BAD">
      <w:pPr>
        <w:jc w:val="both"/>
        <w:rPr>
          <w:rFonts w:ascii="Arial" w:hAnsi="Arial" w:cs="Arial"/>
        </w:rPr>
      </w:pPr>
      <w:r w:rsidRPr="00D768C9">
        <w:rPr>
          <w:rFonts w:ascii="Arial" w:hAnsi="Arial" w:cs="Arial"/>
        </w:rPr>
        <w:t xml:space="preserve">CGIAR (2016). CGIAR Strategy and Results Framework, 2016-2030. Redefining how the CGIAR does business until 2030. </w:t>
      </w:r>
    </w:p>
    <w:p w14:paraId="77D7A92A" w14:textId="77777777" w:rsidR="00430BAD" w:rsidRPr="00D768C9" w:rsidRDefault="005A2577" w:rsidP="00430BAD">
      <w:pPr>
        <w:jc w:val="both"/>
        <w:rPr>
          <w:rStyle w:val="Hyperlink"/>
          <w:rFonts w:ascii="Arial" w:hAnsi="Arial" w:cs="Arial"/>
        </w:rPr>
      </w:pPr>
      <w:hyperlink r:id="rId11" w:history="1">
        <w:r w:rsidR="00430BAD" w:rsidRPr="00D768C9">
          <w:rPr>
            <w:rStyle w:val="Hyperlink"/>
            <w:rFonts w:ascii="Arial" w:hAnsi="Arial" w:cs="Arial"/>
          </w:rPr>
          <w:t>file:///C:/Downloads/CGIAR%20Strategy%20and%20Results%20Framework.pdf</w:t>
        </w:r>
      </w:hyperlink>
    </w:p>
    <w:p w14:paraId="32A3E4E0" w14:textId="3378BF51" w:rsidR="00D24FD5" w:rsidRPr="00F971EE" w:rsidRDefault="00D24FD5" w:rsidP="00F971EE">
      <w:pPr>
        <w:jc w:val="both"/>
        <w:rPr>
          <w:rFonts w:ascii="Arial" w:hAnsi="Arial" w:cs="Arial"/>
        </w:rPr>
      </w:pPr>
      <w:proofErr w:type="spellStart"/>
      <w:r w:rsidRPr="00F971EE">
        <w:rPr>
          <w:rFonts w:ascii="Arial" w:hAnsi="Arial" w:cs="Arial"/>
        </w:rPr>
        <w:t>Carwright</w:t>
      </w:r>
      <w:proofErr w:type="spellEnd"/>
      <w:r w:rsidRPr="00F971EE">
        <w:rPr>
          <w:rFonts w:ascii="Arial" w:hAnsi="Arial" w:cs="Arial"/>
        </w:rPr>
        <w:t xml:space="preserve"> XX</w:t>
      </w:r>
      <w:r w:rsidR="00E5367F" w:rsidRPr="00F971EE">
        <w:rPr>
          <w:rFonts w:ascii="Arial" w:hAnsi="Arial" w:cs="Arial"/>
        </w:rPr>
        <w:t>XX</w:t>
      </w:r>
      <w:r w:rsidRPr="00F971EE">
        <w:rPr>
          <w:rFonts w:ascii="Arial" w:hAnsi="Arial" w:cs="Arial"/>
        </w:rPr>
        <w:t xml:space="preserve">) </w:t>
      </w:r>
    </w:p>
    <w:p w14:paraId="63B481D4" w14:textId="6856A9D6" w:rsidR="005330FF" w:rsidRPr="005330FF" w:rsidRDefault="005330FF" w:rsidP="00F971EE">
      <w:pPr>
        <w:jc w:val="both"/>
        <w:rPr>
          <w:rFonts w:ascii="Arial" w:hAnsi="Arial" w:cs="Arial"/>
        </w:rPr>
      </w:pPr>
      <w:proofErr w:type="spellStart"/>
      <w:r w:rsidRPr="005330FF">
        <w:rPr>
          <w:rFonts w:ascii="Arial" w:hAnsi="Arial" w:cs="Arial"/>
        </w:rPr>
        <w:t>Chilemba</w:t>
      </w:r>
      <w:proofErr w:type="spellEnd"/>
      <w:r w:rsidRPr="005330FF">
        <w:rPr>
          <w:rFonts w:ascii="Arial" w:hAnsi="Arial" w:cs="Arial"/>
        </w:rPr>
        <w:t xml:space="preserve">, J., and </w:t>
      </w:r>
      <w:proofErr w:type="spellStart"/>
      <w:r w:rsidRPr="005330FF">
        <w:rPr>
          <w:rFonts w:ascii="Arial" w:hAnsi="Arial" w:cs="Arial"/>
        </w:rPr>
        <w:t>Ragasa</w:t>
      </w:r>
      <w:proofErr w:type="spellEnd"/>
      <w:r w:rsidRPr="005330FF">
        <w:rPr>
          <w:rFonts w:ascii="Arial" w:hAnsi="Arial" w:cs="Arial"/>
        </w:rPr>
        <w:t xml:space="preserve">, C. (2019). The Impact on Farmer Incomes of a Nationwide Scaling Up of the Farmer Business School Program: Lessons and Insights from Central Malawi, </w:t>
      </w:r>
      <w:r w:rsidRPr="005330FF">
        <w:rPr>
          <w:rFonts w:ascii="Arial" w:hAnsi="Arial" w:cs="Arial"/>
          <w:i/>
          <w:iCs/>
        </w:rPr>
        <w:t>European Journal of Development Research</w:t>
      </w:r>
      <w:r w:rsidRPr="005330FF">
        <w:rPr>
          <w:rFonts w:ascii="Arial" w:hAnsi="Arial" w:cs="Arial"/>
        </w:rPr>
        <w:t xml:space="preserve"> Online at https://doi.org/10.1057/s41287-019-00246-y</w:t>
      </w:r>
    </w:p>
    <w:p w14:paraId="081A6054" w14:textId="42BFA287" w:rsidR="00D24FD5" w:rsidRPr="005D6321" w:rsidRDefault="00D24FD5" w:rsidP="00F971EE">
      <w:pPr>
        <w:jc w:val="both"/>
        <w:rPr>
          <w:rFonts w:ascii="Arial" w:hAnsi="Arial" w:cs="Arial"/>
          <w:color w:val="FF0000"/>
        </w:rPr>
      </w:pPr>
      <w:r w:rsidRPr="005D6321">
        <w:rPr>
          <w:rFonts w:ascii="Arial" w:hAnsi="Arial" w:cs="Arial"/>
          <w:color w:val="FF0000"/>
        </w:rPr>
        <w:t xml:space="preserve">Coe et al. 2014). </w:t>
      </w:r>
    </w:p>
    <w:p w14:paraId="5167480D" w14:textId="6F9073ED" w:rsidR="0020786D" w:rsidRPr="005D6321" w:rsidRDefault="00AA1F39" w:rsidP="00F971EE">
      <w:pPr>
        <w:jc w:val="both"/>
        <w:rPr>
          <w:rFonts w:ascii="Arial" w:hAnsi="Arial" w:cs="Arial"/>
          <w:noProof/>
          <w:color w:val="FF0000"/>
        </w:rPr>
      </w:pPr>
      <w:r w:rsidRPr="00F971EE">
        <w:rPr>
          <w:rFonts w:ascii="Arial" w:hAnsi="Arial" w:cs="Arial"/>
        </w:rPr>
        <w:t xml:space="preserve">Clarkson, G., Garforth, C., </w:t>
      </w:r>
      <w:proofErr w:type="spellStart"/>
      <w:r w:rsidRPr="00F971EE">
        <w:rPr>
          <w:rFonts w:ascii="Arial" w:hAnsi="Arial" w:cs="Arial"/>
        </w:rPr>
        <w:t>Dorward</w:t>
      </w:r>
      <w:proofErr w:type="spellEnd"/>
      <w:r w:rsidRPr="00F971EE">
        <w:rPr>
          <w:rFonts w:ascii="Arial" w:hAnsi="Arial" w:cs="Arial"/>
        </w:rPr>
        <w:t xml:space="preserve">, P., </w:t>
      </w:r>
      <w:proofErr w:type="spellStart"/>
      <w:r w:rsidRPr="00F971EE">
        <w:rPr>
          <w:rFonts w:ascii="Arial" w:hAnsi="Arial" w:cs="Arial"/>
        </w:rPr>
        <w:t>Mose</w:t>
      </w:r>
      <w:proofErr w:type="spellEnd"/>
      <w:r w:rsidRPr="00F971EE">
        <w:rPr>
          <w:rFonts w:ascii="Arial" w:hAnsi="Arial" w:cs="Arial"/>
        </w:rPr>
        <w:t xml:space="preserve">. G., Barahona, C., </w:t>
      </w:r>
      <w:proofErr w:type="spellStart"/>
      <w:r w:rsidRPr="00F971EE">
        <w:rPr>
          <w:rFonts w:ascii="Arial" w:hAnsi="Arial" w:cs="Arial"/>
        </w:rPr>
        <w:t>Areala</w:t>
      </w:r>
      <w:proofErr w:type="spellEnd"/>
      <w:r w:rsidRPr="00F971EE">
        <w:rPr>
          <w:rFonts w:ascii="Arial" w:hAnsi="Arial" w:cs="Arial"/>
        </w:rPr>
        <w:t xml:space="preserve">, F., and Dove, M. (2018). Can the TV makeover format of edutainment lead to widespread changes in farmer behaviour and influence innovation systems? </w:t>
      </w:r>
      <w:proofErr w:type="spellStart"/>
      <w:r w:rsidRPr="00F971EE">
        <w:rPr>
          <w:rFonts w:ascii="Arial" w:hAnsi="Arial" w:cs="Arial"/>
        </w:rPr>
        <w:t>Shamba</w:t>
      </w:r>
      <w:proofErr w:type="spellEnd"/>
      <w:r w:rsidRPr="00F971EE">
        <w:rPr>
          <w:rFonts w:ascii="Arial" w:hAnsi="Arial" w:cs="Arial"/>
        </w:rPr>
        <w:t xml:space="preserve"> Shape Up in Kenya, </w:t>
      </w:r>
      <w:hyperlink r:id="rId12" w:tooltip="Go to Land Use Policy on ScienceDirect" w:history="1">
        <w:r w:rsidRPr="00F971EE">
          <w:rPr>
            <w:rStyle w:val="Hyperlink"/>
            <w:rFonts w:ascii="Arial" w:hAnsi="Arial" w:cs="Arial"/>
            <w:i/>
            <w:iCs/>
            <w:color w:val="auto"/>
            <w:u w:val="none"/>
          </w:rPr>
          <w:t>Land Use Policy</w:t>
        </w:r>
      </w:hyperlink>
      <w:r w:rsidRPr="00F971EE">
        <w:rPr>
          <w:rFonts w:ascii="Arial" w:hAnsi="Arial" w:cs="Arial"/>
        </w:rPr>
        <w:t xml:space="preserve">  76 (July):338-351.</w:t>
      </w:r>
      <w:r w:rsidR="0020786D" w:rsidRPr="005D6321">
        <w:rPr>
          <w:rFonts w:ascii="Arial" w:hAnsi="Arial" w:cs="Arial"/>
          <w:color w:val="FF0000"/>
        </w:rPr>
        <w:fldChar w:fldCharType="begin" w:fldLock="1"/>
      </w:r>
      <w:r w:rsidR="0020786D" w:rsidRPr="005D6321">
        <w:rPr>
          <w:rFonts w:ascii="Arial" w:hAnsi="Arial" w:cs="Arial"/>
          <w:color w:val="FF0000"/>
        </w:rPr>
        <w:instrText>ADDIN CSL_CITATION { "citationItems" : [ { "id" : "ITEM-1", "itemData" : { "DOI" : "10.1086/703868", "ISSN" : "0013-0079", "author" : [ { "dropping-particle" : "Van", "family" : "Campenhout", "given" : "Bjorn", "non-dropping-particle" : "", "parse-names" : false, "suffix" : "" } ], "container-title" : "Economic Development and Cultural Change", "id" : "ITEM-1", "issued" : { "date-parts" : [ [ "2019", "4", "10" ] ] }, "note" : "doi: 10.1086/703868", "publisher" : "The University of Chicago Press", "title" : "The Role of Information in Agricultural Technology Adoption: Experimental Evidence from Rice Farmers in Uganda", "type" : "article-journal" }, "uris" : [ "http://www.mendeley.com/documents/?uuid=d878f244-4e4a-440b-8b22-72734e6d9eb4" ] }, { "id" : "ITEM-2", "itemData" : { "author" : [ { "dropping-particle" : "", "family" : "Janvry", "given" : "A.", "non-dropping-particle" : "de", "parse-names" : false, "suffix" : "" }, { "dropping-particle" : "", "family" : "Sadoulet", "given" : "E.", "non-dropping-particle" : "", "parse-names" : false, "suffix" : "" }, { "dropping-particle" : "", "family" : "Rao", "given" : "M.", "non-dropping-particle" : "", "parse-names" : false, "suffix" : "" } ], "chapter-number" : "Adjusting", "container-title" : "Learning for Adoption: Technology Adoption in Developing Country Agriculture.", "editor" : [ { "dropping-particle" : "", "family" : "Janvry", "given" : "A.", "non-dropping-particle" : "de", "parse-names" : false, "suffix" : "" }, { "dropping-particle" : "", "family" : "Macours", "given" : "K.", "non-dropping-particle" : "", "parse-names" : false, "suffix" : "" }, { "dropping-particle" : "", "family" : "Sadoulet", "given" : "E.", "non-dropping-particle" : "", "parse-names" : false, "suffix" : "" } ], "id" : "ITEM-2", "issued" : { "date-parts" : [ [ "2016" ] ] }, "publisher" : "Ferdi and SPIA", "publisher-place" : "Clermont-Ferrand", "title" : "Adjusting extension models to the way farmers learn", "type" : "chapter" }, "uris" : [ "http://www.mendeley.com/documents/?uuid=e334d511-9983-4984-8caa-570f276416b8" ] } ], "mendeley" : { "formattedCitation" : "(Campenhout, 2019; de Janvry, Sadoulet, &amp; Rao, 2016)", "plainTextFormattedCitation" : "(Campenhout, 2019; de Janvry, Sadoulet, &amp; Rao, 2016)", "previouslyFormattedCitation" : "(Campenhout, 2019)" }, "properties" : { "noteIndex" : 0 }, "schema" : "https://github.com/citation-style-language/schema/raw/master/csl-citation.json" }</w:instrText>
      </w:r>
      <w:r w:rsidR="0020786D" w:rsidRPr="005D6321">
        <w:rPr>
          <w:rFonts w:ascii="Arial" w:hAnsi="Arial" w:cs="Arial"/>
          <w:color w:val="FF0000"/>
        </w:rPr>
        <w:fldChar w:fldCharType="separate"/>
      </w:r>
      <w:r w:rsidR="0020786D" w:rsidRPr="005D6321">
        <w:rPr>
          <w:rFonts w:ascii="Arial" w:hAnsi="Arial" w:cs="Arial"/>
          <w:noProof/>
          <w:color w:val="FF0000"/>
        </w:rPr>
        <w:t>(</w:t>
      </w:r>
    </w:p>
    <w:p w14:paraId="0243E894" w14:textId="1E0B83EB" w:rsidR="0020786D" w:rsidRPr="005D6321" w:rsidRDefault="0020786D" w:rsidP="00F971EE">
      <w:pPr>
        <w:jc w:val="both"/>
        <w:rPr>
          <w:rFonts w:ascii="Arial" w:hAnsi="Arial" w:cs="Arial"/>
          <w:color w:val="FF0000"/>
        </w:rPr>
      </w:pPr>
      <w:r w:rsidRPr="005D6321">
        <w:rPr>
          <w:rFonts w:ascii="Arial" w:hAnsi="Arial" w:cs="Arial"/>
          <w:noProof/>
          <w:color w:val="FF0000"/>
        </w:rPr>
        <w:t xml:space="preserve"> de Janvry, Sadoulet, &amp; Rao, 2016)</w:t>
      </w:r>
      <w:r w:rsidRPr="005D6321">
        <w:rPr>
          <w:rFonts w:ascii="Arial" w:hAnsi="Arial" w:cs="Arial"/>
          <w:color w:val="FF0000"/>
        </w:rPr>
        <w:fldChar w:fldCharType="end"/>
      </w:r>
      <w:r w:rsidRPr="005D6321">
        <w:rPr>
          <w:rFonts w:ascii="Arial" w:hAnsi="Arial" w:cs="Arial"/>
          <w:color w:val="FF0000"/>
        </w:rPr>
        <w:t>.</w:t>
      </w:r>
    </w:p>
    <w:p w14:paraId="3037589B" w14:textId="0F07930B" w:rsidR="00D653C5" w:rsidRPr="00F971EE" w:rsidRDefault="005D6321" w:rsidP="005D6321">
      <w:pPr>
        <w:spacing w:line="240" w:lineRule="auto"/>
        <w:contextualSpacing/>
        <w:jc w:val="both"/>
        <w:rPr>
          <w:rFonts w:ascii="Arial" w:hAnsi="Arial" w:cs="Arial"/>
        </w:rPr>
      </w:pPr>
      <w:r>
        <w:rPr>
          <w:rFonts w:ascii="Arial" w:hAnsi="Arial" w:cs="Arial"/>
        </w:rPr>
        <w:t>d</w:t>
      </w:r>
      <w:r w:rsidR="00D653C5" w:rsidRPr="00F971EE">
        <w:rPr>
          <w:rFonts w:ascii="Arial" w:hAnsi="Arial" w:cs="Arial"/>
        </w:rPr>
        <w:t xml:space="preserve">e </w:t>
      </w:r>
      <w:proofErr w:type="spellStart"/>
      <w:r w:rsidR="00D653C5" w:rsidRPr="00F971EE">
        <w:rPr>
          <w:rFonts w:ascii="Arial" w:hAnsi="Arial" w:cs="Arial"/>
        </w:rPr>
        <w:t>Janvry</w:t>
      </w:r>
      <w:proofErr w:type="spellEnd"/>
      <w:r w:rsidR="00D653C5" w:rsidRPr="00F971EE">
        <w:rPr>
          <w:rFonts w:ascii="Arial" w:hAnsi="Arial" w:cs="Arial"/>
        </w:rPr>
        <w:t>, A</w:t>
      </w:r>
      <w:r>
        <w:rPr>
          <w:rFonts w:ascii="Arial" w:hAnsi="Arial" w:cs="Arial"/>
        </w:rPr>
        <w:t xml:space="preserve">., </w:t>
      </w:r>
      <w:proofErr w:type="spellStart"/>
      <w:r w:rsidR="00D653C5" w:rsidRPr="00F971EE">
        <w:rPr>
          <w:rFonts w:ascii="Arial" w:hAnsi="Arial" w:cs="Arial"/>
        </w:rPr>
        <w:t>Macours</w:t>
      </w:r>
      <w:proofErr w:type="spellEnd"/>
      <w:r w:rsidR="00D653C5" w:rsidRPr="00F971EE">
        <w:rPr>
          <w:rFonts w:ascii="Arial" w:hAnsi="Arial" w:cs="Arial"/>
        </w:rPr>
        <w:t xml:space="preserve">, </w:t>
      </w:r>
      <w:r>
        <w:rPr>
          <w:rFonts w:ascii="Arial" w:hAnsi="Arial" w:cs="Arial"/>
        </w:rPr>
        <w:t xml:space="preserve">K., </w:t>
      </w:r>
      <w:r w:rsidR="00D653C5" w:rsidRPr="00F971EE">
        <w:rPr>
          <w:rFonts w:ascii="Arial" w:hAnsi="Arial" w:cs="Arial"/>
        </w:rPr>
        <w:t xml:space="preserve">and </w:t>
      </w:r>
      <w:proofErr w:type="spellStart"/>
      <w:r w:rsidR="00D653C5" w:rsidRPr="00F971EE">
        <w:rPr>
          <w:rFonts w:ascii="Arial" w:hAnsi="Arial" w:cs="Arial"/>
        </w:rPr>
        <w:t>Sadoulet</w:t>
      </w:r>
      <w:proofErr w:type="spellEnd"/>
      <w:r w:rsidR="00D653C5" w:rsidRPr="00F971EE">
        <w:rPr>
          <w:rFonts w:ascii="Arial" w:hAnsi="Arial" w:cs="Arial"/>
        </w:rPr>
        <w:t xml:space="preserve">, </w:t>
      </w:r>
      <w:r>
        <w:rPr>
          <w:rFonts w:ascii="Arial" w:hAnsi="Arial" w:cs="Arial"/>
        </w:rPr>
        <w:t xml:space="preserve">E. (2016). </w:t>
      </w:r>
      <w:r w:rsidR="00D653C5" w:rsidRPr="00F971EE">
        <w:rPr>
          <w:rFonts w:ascii="Arial" w:hAnsi="Arial" w:cs="Arial"/>
          <w:i/>
        </w:rPr>
        <w:t>Learning for Adopting: Technology Adoption in Developing Country Agriculture</w:t>
      </w:r>
      <w:r w:rsidR="00D653C5" w:rsidRPr="00F971EE">
        <w:rPr>
          <w:rFonts w:ascii="Arial" w:hAnsi="Arial" w:cs="Arial"/>
        </w:rPr>
        <w:t xml:space="preserve">, </w:t>
      </w:r>
      <w:proofErr w:type="gramStart"/>
      <w:r w:rsidR="00D653C5" w:rsidRPr="00F971EE">
        <w:rPr>
          <w:rFonts w:ascii="Arial" w:hAnsi="Arial" w:cs="Arial"/>
        </w:rPr>
        <w:t>Ferdi .</w:t>
      </w:r>
      <w:proofErr w:type="gramEnd"/>
      <w:r w:rsidR="00D653C5" w:rsidRPr="00F971EE">
        <w:rPr>
          <w:rFonts w:ascii="Arial" w:hAnsi="Arial" w:cs="Arial"/>
        </w:rPr>
        <w:t xml:space="preserve"> </w:t>
      </w:r>
    </w:p>
    <w:p w14:paraId="2FC3144D" w14:textId="77777777" w:rsidR="00D653C5" w:rsidRPr="00F971EE" w:rsidRDefault="00D653C5" w:rsidP="00F971EE">
      <w:pPr>
        <w:spacing w:line="240" w:lineRule="auto"/>
        <w:ind w:left="720" w:hanging="720"/>
        <w:contextualSpacing/>
        <w:jc w:val="both"/>
        <w:rPr>
          <w:rFonts w:ascii="Arial" w:hAnsi="Arial" w:cs="Arial"/>
        </w:rPr>
      </w:pPr>
    </w:p>
    <w:p w14:paraId="32978DE4" w14:textId="77777777" w:rsidR="0020786D" w:rsidRPr="005D6321" w:rsidRDefault="0020786D" w:rsidP="00F971EE">
      <w:pPr>
        <w:jc w:val="both"/>
        <w:rPr>
          <w:rFonts w:ascii="Arial" w:hAnsi="Arial" w:cs="Arial"/>
          <w:color w:val="FF0000"/>
        </w:rPr>
      </w:pPr>
      <w:r w:rsidRPr="005D6321">
        <w:rPr>
          <w:rFonts w:ascii="Arial" w:hAnsi="Arial" w:cs="Arial"/>
          <w:color w:val="FF0000"/>
        </w:rPr>
        <w:fldChar w:fldCharType="begin" w:fldLock="1"/>
      </w:r>
      <w:r w:rsidRPr="005D6321">
        <w:rPr>
          <w:rFonts w:ascii="Arial" w:hAnsi="Arial" w:cs="Arial"/>
          <w:color w:val="FF0000"/>
        </w:rPr>
        <w:instrText>ADDIN CSL_CITATION { "citationItems" : [ { "id" : "ITEM-1", "itemData" : { "DOI" : "10.1108/JADEE-06-2017-0065", "author" : [ { "dropping-particle" : "", "family" : "Devaux", "given" : "Andre", "non-dropping-particle" : "", "parse-names" : false, "suffix" : "" }, { "dropping-particle" : "", "family" : "Torero", "given" : "Maximo", "non-dropping-particle" : "", "parse-names" : false, "suffix" : "" }, { "dropping-particle" : "", "family" : "Horton", "given" : "Douglas", "non-dropping-particle" : "", "parse-names" : false, "suffix" : "" } ], "id" : "ITEM-1", "issue" : "1", "issued" : { "date-parts" : [ [ "2018" ] ] }, "page" : "99-123", "title" : "Agricultural innovation and inclusive value-chain development : a review", "type" : "article-journal", "volume" : "8" }, "uris" : [ "http://www.mendeley.com/documents/?uuid=142b2feb-e12d-4db3-8ff9-c82641d69467" ] } ], "mendeley" : { "formattedCitation" : "(Devaux, Torero, &amp; Horton, 2018)", "plainTextFormattedCitation" : "(Devaux, Torero, &amp; Horton, 2018)", "previouslyFormattedCitation" : "(Devaux, Torero, &amp; Horton, 2018)" }, "properties" : { "noteIndex" : 0 }, "schema" : "https://github.com/citation-style-language/schema/raw/master/csl-citation.json" }</w:instrText>
      </w:r>
      <w:r w:rsidRPr="005D6321">
        <w:rPr>
          <w:rFonts w:ascii="Arial" w:hAnsi="Arial" w:cs="Arial"/>
          <w:color w:val="FF0000"/>
        </w:rPr>
        <w:fldChar w:fldCharType="separate"/>
      </w:r>
      <w:r w:rsidRPr="005D6321">
        <w:rPr>
          <w:rFonts w:ascii="Arial" w:hAnsi="Arial" w:cs="Arial"/>
          <w:noProof/>
          <w:color w:val="FF0000"/>
        </w:rPr>
        <w:t>(Devaux, Torero, &amp; Horton, 2018)</w:t>
      </w:r>
      <w:r w:rsidRPr="005D6321">
        <w:rPr>
          <w:rFonts w:ascii="Arial" w:hAnsi="Arial" w:cs="Arial"/>
          <w:color w:val="FF0000"/>
        </w:rPr>
        <w:fldChar w:fldCharType="end"/>
      </w:r>
      <w:r w:rsidRPr="005D6321">
        <w:rPr>
          <w:rFonts w:ascii="Arial" w:hAnsi="Arial" w:cs="Arial"/>
          <w:color w:val="FF0000"/>
        </w:rPr>
        <w:t xml:space="preserve">.   </w:t>
      </w:r>
    </w:p>
    <w:p w14:paraId="0CE57AEC" w14:textId="308830F6" w:rsidR="00317DEF" w:rsidRPr="00F971EE" w:rsidRDefault="00317DEF" w:rsidP="00F971EE">
      <w:pPr>
        <w:jc w:val="both"/>
        <w:rPr>
          <w:rFonts w:ascii="Arial" w:hAnsi="Arial" w:cs="Arial"/>
        </w:rPr>
      </w:pPr>
      <w:r w:rsidRPr="00F971EE">
        <w:rPr>
          <w:rFonts w:ascii="Arial" w:hAnsi="Arial" w:cs="Arial"/>
        </w:rPr>
        <w:t>Department for International Development (DFID) (2015). DFID’s Conceptual Framework on Agriculture. November. Mimeo, 36 pp.</w:t>
      </w:r>
    </w:p>
    <w:p w14:paraId="5C11A511" w14:textId="5AA96276" w:rsidR="00317DEF" w:rsidRPr="00F971EE" w:rsidRDefault="005A2577" w:rsidP="00F971EE">
      <w:pPr>
        <w:jc w:val="both"/>
        <w:rPr>
          <w:rFonts w:ascii="Arial" w:hAnsi="Arial" w:cs="Arial"/>
        </w:rPr>
      </w:pPr>
      <w:hyperlink r:id="rId13" w:history="1">
        <w:r w:rsidR="00317DEF" w:rsidRPr="00F971EE">
          <w:rPr>
            <w:rStyle w:val="Hyperlink"/>
            <w:rFonts w:ascii="Arial" w:hAnsi="Arial" w:cs="Arial"/>
          </w:rPr>
          <w:t>https://assets.publishing.service.gov.uk/government/uploads/system/uploads/attachment_data/file/472999/Conceptual-Framework-Agriculture2.pdf</w:t>
        </w:r>
      </w:hyperlink>
    </w:p>
    <w:p w14:paraId="032B54ED" w14:textId="77777777" w:rsidR="0073156E" w:rsidRDefault="0073156E" w:rsidP="00F971EE">
      <w:pPr>
        <w:jc w:val="both"/>
        <w:rPr>
          <w:rFonts w:ascii="Arial" w:hAnsi="Arial" w:cs="Arial"/>
          <w:color w:val="FF0000"/>
        </w:rPr>
      </w:pPr>
    </w:p>
    <w:p w14:paraId="4466FE0A" w14:textId="77777777" w:rsidR="0073156E" w:rsidRPr="0073156E" w:rsidRDefault="0073156E" w:rsidP="0073156E">
      <w:pPr>
        <w:jc w:val="both"/>
        <w:rPr>
          <w:rStyle w:val="Hyperlink"/>
          <w:rFonts w:ascii="Arial" w:hAnsi="Arial" w:cs="Arial"/>
          <w:color w:val="auto"/>
          <w:u w:val="none"/>
        </w:rPr>
      </w:pPr>
      <w:r w:rsidRPr="0073156E">
        <w:rPr>
          <w:rStyle w:val="Hyperlink"/>
          <w:rFonts w:ascii="Arial" w:hAnsi="Arial" w:cs="Arial"/>
          <w:color w:val="auto"/>
          <w:u w:val="none"/>
        </w:rPr>
        <w:t xml:space="preserve">GLDC (2017). Grain Legumes and Dryland Cereals Agri-Food Systems. Phase 2. Full Proposal. </w:t>
      </w:r>
    </w:p>
    <w:p w14:paraId="327D69A7" w14:textId="3065CCE2" w:rsidR="00FF6F5C" w:rsidRPr="00F971EE" w:rsidRDefault="00FF6F5C" w:rsidP="00F971EE">
      <w:pPr>
        <w:jc w:val="both"/>
        <w:rPr>
          <w:rFonts w:ascii="Arial" w:hAnsi="Arial" w:cs="Arial"/>
          <w:color w:val="FF0000"/>
        </w:rPr>
      </w:pPr>
      <w:proofErr w:type="spellStart"/>
      <w:r w:rsidRPr="00F971EE">
        <w:rPr>
          <w:rFonts w:ascii="Arial" w:hAnsi="Arial" w:cs="Arial"/>
          <w:color w:val="FF0000"/>
        </w:rPr>
        <w:t>Gundel</w:t>
      </w:r>
      <w:proofErr w:type="spellEnd"/>
      <w:r w:rsidRPr="00F971EE">
        <w:rPr>
          <w:rFonts w:ascii="Arial" w:hAnsi="Arial" w:cs="Arial"/>
          <w:color w:val="FF0000"/>
        </w:rPr>
        <w:t xml:space="preserve"> et. al., 2001:</w:t>
      </w:r>
    </w:p>
    <w:p w14:paraId="251764E0" w14:textId="6C7FDB53" w:rsidR="0020786D" w:rsidRPr="00F971EE" w:rsidRDefault="0020786D" w:rsidP="00F971EE">
      <w:pPr>
        <w:jc w:val="both"/>
        <w:rPr>
          <w:rFonts w:ascii="Arial" w:hAnsi="Arial" w:cs="Arial"/>
          <w:color w:val="FF0000"/>
        </w:rPr>
      </w:pPr>
      <w:proofErr w:type="spellStart"/>
      <w:r w:rsidRPr="00F971EE">
        <w:rPr>
          <w:rFonts w:ascii="Arial" w:hAnsi="Arial" w:cs="Arial"/>
          <w:color w:val="FF0000"/>
        </w:rPr>
        <w:t>Fatubi</w:t>
      </w:r>
      <w:proofErr w:type="spellEnd"/>
      <w:r w:rsidRPr="00F971EE">
        <w:rPr>
          <w:rFonts w:ascii="Arial" w:hAnsi="Arial" w:cs="Arial"/>
          <w:color w:val="FF0000"/>
        </w:rPr>
        <w:t xml:space="preserve"> et al. 2015; </w:t>
      </w:r>
    </w:p>
    <w:p w14:paraId="3CF57BE1" w14:textId="039C8ECA" w:rsidR="002B0DCA" w:rsidRPr="00362AF3" w:rsidRDefault="002B0DCA" w:rsidP="00362AF3">
      <w:pPr>
        <w:spacing w:line="240" w:lineRule="auto"/>
        <w:contextualSpacing/>
        <w:jc w:val="both"/>
        <w:rPr>
          <w:rFonts w:ascii="Arial" w:hAnsi="Arial" w:cs="Arial"/>
          <w:iCs/>
        </w:rPr>
      </w:pPr>
      <w:r w:rsidRPr="00F971EE">
        <w:rPr>
          <w:rFonts w:ascii="Arial" w:hAnsi="Arial" w:cs="Arial"/>
        </w:rPr>
        <w:t xml:space="preserve">Feder, G., Just, </w:t>
      </w:r>
      <w:r w:rsidR="00362AF3">
        <w:rPr>
          <w:rFonts w:ascii="Arial" w:hAnsi="Arial" w:cs="Arial"/>
        </w:rPr>
        <w:t xml:space="preserve">R. E., </w:t>
      </w:r>
      <w:r w:rsidRPr="00F971EE">
        <w:rPr>
          <w:rFonts w:ascii="Arial" w:hAnsi="Arial" w:cs="Arial"/>
        </w:rPr>
        <w:t xml:space="preserve">and Zilberman, </w:t>
      </w:r>
      <w:r w:rsidR="00362AF3">
        <w:rPr>
          <w:rFonts w:ascii="Arial" w:hAnsi="Arial" w:cs="Arial"/>
        </w:rPr>
        <w:t xml:space="preserve">D (1985). </w:t>
      </w:r>
      <w:r w:rsidRPr="00362AF3">
        <w:rPr>
          <w:rFonts w:ascii="Arial" w:hAnsi="Arial" w:cs="Arial"/>
          <w:iCs/>
        </w:rPr>
        <w:t xml:space="preserve">Adoption of Agricultural Innovations in Developing Countries: A Survey, </w:t>
      </w:r>
      <w:r w:rsidRPr="00362AF3">
        <w:rPr>
          <w:rFonts w:ascii="Arial" w:hAnsi="Arial" w:cs="Arial"/>
          <w:i/>
        </w:rPr>
        <w:t>Economic Development and Cultural Change</w:t>
      </w:r>
      <w:r w:rsidRPr="00362AF3">
        <w:rPr>
          <w:rFonts w:ascii="Arial" w:hAnsi="Arial" w:cs="Arial"/>
          <w:iCs/>
        </w:rPr>
        <w:t>, Vol. 33</w:t>
      </w:r>
      <w:r w:rsidR="00362AF3">
        <w:rPr>
          <w:rFonts w:ascii="Arial" w:hAnsi="Arial" w:cs="Arial"/>
          <w:iCs/>
        </w:rPr>
        <w:t xml:space="preserve">: </w:t>
      </w:r>
      <w:r w:rsidRPr="00362AF3">
        <w:rPr>
          <w:rFonts w:ascii="Arial" w:hAnsi="Arial" w:cs="Arial"/>
          <w:iCs/>
        </w:rPr>
        <w:t>255-298</w:t>
      </w:r>
      <w:r w:rsidR="00362AF3">
        <w:rPr>
          <w:rFonts w:ascii="Arial" w:hAnsi="Arial" w:cs="Arial"/>
          <w:iCs/>
        </w:rPr>
        <w:t>.</w:t>
      </w:r>
      <w:r w:rsidRPr="00362AF3">
        <w:rPr>
          <w:rFonts w:ascii="Arial" w:hAnsi="Arial" w:cs="Arial"/>
          <w:iCs/>
        </w:rPr>
        <w:t xml:space="preserve"> </w:t>
      </w:r>
    </w:p>
    <w:p w14:paraId="41D862AC" w14:textId="77777777" w:rsidR="002B0DCA" w:rsidRPr="00F971EE" w:rsidRDefault="002B0DCA" w:rsidP="00F971EE">
      <w:pPr>
        <w:jc w:val="both"/>
        <w:rPr>
          <w:rFonts w:ascii="Arial" w:hAnsi="Arial" w:cs="Arial"/>
        </w:rPr>
      </w:pPr>
    </w:p>
    <w:p w14:paraId="681B8CE0" w14:textId="309E3EB5" w:rsidR="0071461D" w:rsidRPr="00F971EE" w:rsidRDefault="0071461D" w:rsidP="00F971EE">
      <w:pPr>
        <w:jc w:val="both"/>
        <w:rPr>
          <w:rFonts w:ascii="Arial" w:hAnsi="Arial" w:cs="Arial"/>
        </w:rPr>
      </w:pPr>
      <w:r w:rsidRPr="00F971EE">
        <w:rPr>
          <w:rFonts w:ascii="Arial" w:hAnsi="Arial" w:cs="Arial"/>
        </w:rPr>
        <w:t xml:space="preserve">Feder, G., </w:t>
      </w:r>
      <w:proofErr w:type="spellStart"/>
      <w:r w:rsidRPr="00F971EE">
        <w:rPr>
          <w:rFonts w:ascii="Arial" w:hAnsi="Arial" w:cs="Arial"/>
        </w:rPr>
        <w:t>Murgai</w:t>
      </w:r>
      <w:proofErr w:type="spellEnd"/>
      <w:r w:rsidRPr="00F971EE">
        <w:rPr>
          <w:rFonts w:ascii="Arial" w:hAnsi="Arial" w:cs="Arial"/>
        </w:rPr>
        <w:t xml:space="preserve">, R., and </w:t>
      </w:r>
      <w:proofErr w:type="spellStart"/>
      <w:r w:rsidRPr="00F971EE">
        <w:rPr>
          <w:rFonts w:ascii="Arial" w:hAnsi="Arial" w:cs="Arial"/>
        </w:rPr>
        <w:t>Quizon</w:t>
      </w:r>
      <w:proofErr w:type="spellEnd"/>
      <w:r w:rsidRPr="00F971EE">
        <w:rPr>
          <w:rFonts w:ascii="Arial" w:hAnsi="Arial" w:cs="Arial"/>
        </w:rPr>
        <w:t>, J. (2008).</w:t>
      </w:r>
      <w:r w:rsidRPr="00F971EE">
        <w:rPr>
          <w:rStyle w:val="title-text"/>
          <w:rFonts w:ascii="Arial" w:hAnsi="Arial" w:cs="Arial"/>
        </w:rPr>
        <w:t xml:space="preserve"> Investing in Farmers—The Impacts of Farmer Field Schools in Relation to Integrated Pest Management”—A Comment. </w:t>
      </w:r>
      <w:hyperlink r:id="rId14" w:tooltip="Go to World Development on ScienceDirect" w:history="1">
        <w:r w:rsidRPr="00F971EE">
          <w:rPr>
            <w:rStyle w:val="Hyperlink"/>
            <w:rFonts w:ascii="Arial" w:hAnsi="Arial" w:cs="Arial"/>
            <w:i/>
            <w:iCs/>
            <w:color w:val="auto"/>
            <w:u w:val="none"/>
          </w:rPr>
          <w:t>World Development</w:t>
        </w:r>
      </w:hyperlink>
      <w:r w:rsidRPr="00F971EE">
        <w:rPr>
          <w:rFonts w:ascii="Arial" w:hAnsi="Arial" w:cs="Arial"/>
        </w:rPr>
        <w:t>, 36 (10): 2103-2106.</w:t>
      </w:r>
    </w:p>
    <w:p w14:paraId="03F86C02" w14:textId="27BD105F" w:rsidR="0071461D" w:rsidRPr="00F971EE" w:rsidRDefault="0071461D" w:rsidP="00F971EE">
      <w:pPr>
        <w:jc w:val="both"/>
        <w:rPr>
          <w:rFonts w:ascii="Arial" w:hAnsi="Arial" w:cs="Arial"/>
        </w:rPr>
      </w:pPr>
      <w:r w:rsidRPr="00F971EE">
        <w:rPr>
          <w:rFonts w:ascii="Arial" w:hAnsi="Arial" w:cs="Arial"/>
        </w:rPr>
        <w:t>Feder, G</w:t>
      </w:r>
      <w:r w:rsidR="00DB374C" w:rsidRPr="00F971EE">
        <w:rPr>
          <w:rFonts w:ascii="Arial" w:hAnsi="Arial" w:cs="Arial"/>
        </w:rPr>
        <w:t>.,</w:t>
      </w:r>
      <w:r w:rsidRPr="00F971EE">
        <w:rPr>
          <w:rFonts w:ascii="Arial" w:hAnsi="Arial" w:cs="Arial"/>
        </w:rPr>
        <w:t xml:space="preserve"> </w:t>
      </w:r>
      <w:proofErr w:type="spellStart"/>
      <w:r w:rsidRPr="00F971EE">
        <w:rPr>
          <w:rFonts w:ascii="Arial" w:hAnsi="Arial" w:cs="Arial"/>
        </w:rPr>
        <w:t>Ganguly</w:t>
      </w:r>
      <w:proofErr w:type="spellEnd"/>
      <w:r w:rsidRPr="00F971EE">
        <w:rPr>
          <w:rFonts w:ascii="Arial" w:hAnsi="Arial" w:cs="Arial"/>
        </w:rPr>
        <w:t xml:space="preserve">, S., and Anderson, J. R. (2006). The Rise and Fall </w:t>
      </w:r>
      <w:r w:rsidR="00C5167B">
        <w:rPr>
          <w:rFonts w:ascii="Arial" w:hAnsi="Arial" w:cs="Arial"/>
        </w:rPr>
        <w:t>o</w:t>
      </w:r>
      <w:r w:rsidRPr="00F971EE">
        <w:rPr>
          <w:rFonts w:ascii="Arial" w:hAnsi="Arial" w:cs="Arial"/>
        </w:rPr>
        <w:t xml:space="preserve">f Training </w:t>
      </w:r>
      <w:proofErr w:type="gramStart"/>
      <w:r w:rsidRPr="00F971EE">
        <w:rPr>
          <w:rFonts w:ascii="Arial" w:hAnsi="Arial" w:cs="Arial"/>
        </w:rPr>
        <w:t>And</w:t>
      </w:r>
      <w:proofErr w:type="gramEnd"/>
      <w:r w:rsidRPr="00F971EE">
        <w:rPr>
          <w:rFonts w:ascii="Arial" w:hAnsi="Arial" w:cs="Arial"/>
        </w:rPr>
        <w:t xml:space="preserve"> Visit Extension: An Asian Mini-Drama With An African Epilogue. </w:t>
      </w:r>
    </w:p>
    <w:p w14:paraId="0AA3A4EE" w14:textId="7DB40B7E" w:rsidR="002B0DCA" w:rsidRDefault="002B0DCA" w:rsidP="00362AF3">
      <w:pPr>
        <w:spacing w:line="240" w:lineRule="auto"/>
        <w:contextualSpacing/>
        <w:jc w:val="both"/>
        <w:rPr>
          <w:rFonts w:ascii="Arial" w:hAnsi="Arial" w:cs="Arial"/>
        </w:rPr>
      </w:pPr>
      <w:r w:rsidRPr="00362AF3">
        <w:rPr>
          <w:rFonts w:ascii="Arial" w:hAnsi="Arial" w:cs="Arial"/>
        </w:rPr>
        <w:t>Foster, Andrew and Rosenzweig</w:t>
      </w:r>
      <w:r w:rsidR="00362AF3">
        <w:rPr>
          <w:rFonts w:ascii="Arial" w:hAnsi="Arial" w:cs="Arial"/>
        </w:rPr>
        <w:t xml:space="preserve">, M. </w:t>
      </w:r>
      <w:r w:rsidR="00362AF3" w:rsidRPr="00362AF3">
        <w:rPr>
          <w:rFonts w:ascii="Arial" w:hAnsi="Arial" w:cs="Arial"/>
        </w:rPr>
        <w:t xml:space="preserve"> (2010)</w:t>
      </w:r>
      <w:r w:rsidRPr="00362AF3">
        <w:rPr>
          <w:rFonts w:ascii="Arial" w:hAnsi="Arial" w:cs="Arial"/>
        </w:rPr>
        <w:t xml:space="preserve">, Microeconomics of Technology Adoption, </w:t>
      </w:r>
      <w:r w:rsidRPr="00362AF3">
        <w:rPr>
          <w:rFonts w:ascii="Arial" w:hAnsi="Arial" w:cs="Arial"/>
          <w:i/>
          <w:iCs/>
        </w:rPr>
        <w:t>Annual Review of Economics,</w:t>
      </w:r>
      <w:r w:rsidRPr="00362AF3">
        <w:rPr>
          <w:rFonts w:ascii="Arial" w:hAnsi="Arial" w:cs="Arial"/>
        </w:rPr>
        <w:t xml:space="preserve"> 2</w:t>
      </w:r>
      <w:r w:rsidR="00362AF3" w:rsidRPr="00362AF3">
        <w:rPr>
          <w:rFonts w:ascii="Arial" w:hAnsi="Arial" w:cs="Arial"/>
        </w:rPr>
        <w:t xml:space="preserve">: </w:t>
      </w:r>
      <w:r w:rsidRPr="00362AF3">
        <w:rPr>
          <w:rFonts w:ascii="Arial" w:hAnsi="Arial" w:cs="Arial"/>
        </w:rPr>
        <w:t>395-424</w:t>
      </w:r>
      <w:r w:rsidR="00362AF3">
        <w:rPr>
          <w:rFonts w:ascii="Arial" w:hAnsi="Arial" w:cs="Arial"/>
        </w:rPr>
        <w:t>.</w:t>
      </w:r>
    </w:p>
    <w:p w14:paraId="7F29CB05" w14:textId="77777777" w:rsidR="00362AF3" w:rsidRPr="00362AF3" w:rsidRDefault="00362AF3" w:rsidP="00362AF3">
      <w:pPr>
        <w:spacing w:line="240" w:lineRule="auto"/>
        <w:contextualSpacing/>
        <w:jc w:val="both"/>
        <w:rPr>
          <w:rFonts w:ascii="Arial" w:hAnsi="Arial" w:cs="Arial"/>
        </w:rPr>
      </w:pPr>
    </w:p>
    <w:p w14:paraId="15B56183" w14:textId="5477208D" w:rsidR="000B6D29" w:rsidRPr="00F971EE" w:rsidRDefault="000B6D29" w:rsidP="00F971EE">
      <w:pPr>
        <w:jc w:val="both"/>
        <w:rPr>
          <w:rFonts w:ascii="Arial" w:hAnsi="Arial" w:cs="Arial"/>
        </w:rPr>
      </w:pPr>
      <w:r w:rsidRPr="00F971EE">
        <w:rPr>
          <w:rFonts w:ascii="Arial" w:hAnsi="Arial" w:cs="Arial"/>
        </w:rPr>
        <w:t xml:space="preserve">Feed the Future </w:t>
      </w:r>
      <w:r w:rsidR="00C5167B">
        <w:rPr>
          <w:rFonts w:ascii="Arial" w:hAnsi="Arial" w:cs="Arial"/>
        </w:rPr>
        <w:t xml:space="preserve">Kenya </w:t>
      </w:r>
      <w:r w:rsidR="00C5167B" w:rsidRPr="00F971EE">
        <w:rPr>
          <w:rFonts w:ascii="Arial" w:hAnsi="Arial" w:cs="Arial"/>
        </w:rPr>
        <w:t xml:space="preserve">Accelerated Value Chains Development (AVCD) Program </w:t>
      </w:r>
      <w:r w:rsidRPr="00F971EE">
        <w:rPr>
          <w:rFonts w:ascii="Arial" w:hAnsi="Arial" w:cs="Arial"/>
        </w:rPr>
        <w:t>(2018</w:t>
      </w:r>
      <w:proofErr w:type="gramStart"/>
      <w:r w:rsidRPr="00F971EE">
        <w:rPr>
          <w:rFonts w:ascii="Arial" w:hAnsi="Arial" w:cs="Arial"/>
        </w:rPr>
        <w:t>)..</w:t>
      </w:r>
      <w:proofErr w:type="gramEnd"/>
      <w:r w:rsidRPr="00F971EE">
        <w:rPr>
          <w:rFonts w:ascii="Arial" w:hAnsi="Arial" w:cs="Arial"/>
        </w:rPr>
        <w:t xml:space="preserve"> Annual Report (October 2017 to September 2018). Mimeo, 49 pp.</w:t>
      </w:r>
    </w:p>
    <w:p w14:paraId="713C7DE1" w14:textId="3C9AF092" w:rsidR="00C5167B" w:rsidRPr="00C5167B" w:rsidRDefault="00C5167B" w:rsidP="00C5167B">
      <w:pPr>
        <w:pStyle w:val="Title"/>
        <w:spacing w:line="276" w:lineRule="auto"/>
        <w:ind w:firstLine="0"/>
        <w:jc w:val="both"/>
        <w:rPr>
          <w:rFonts w:ascii="Arial" w:hAnsi="Arial" w:cs="Arial"/>
          <w:b w:val="0"/>
          <w:bCs w:val="0"/>
          <w:lang w:val="en-GB"/>
        </w:rPr>
      </w:pPr>
      <w:r w:rsidRPr="00C5167B">
        <w:rPr>
          <w:rFonts w:ascii="Arial" w:hAnsi="Arial" w:cs="Arial"/>
          <w:b w:val="0"/>
          <w:bCs w:val="0"/>
          <w:lang w:val="en-GB"/>
        </w:rPr>
        <w:t>Feed the Future Malawi Improved Seed Systems and Technologies (FTF_MISST) Project (2019). End of Project Report (</w:t>
      </w:r>
      <w:r>
        <w:rPr>
          <w:rFonts w:ascii="Arial" w:hAnsi="Arial" w:cs="Arial"/>
          <w:b w:val="0"/>
          <w:bCs w:val="0"/>
          <w:lang w:val="en-GB"/>
        </w:rPr>
        <w:t>1</w:t>
      </w:r>
      <w:r w:rsidRPr="00C5167B">
        <w:rPr>
          <w:rFonts w:ascii="Arial" w:hAnsi="Arial" w:cs="Arial"/>
          <w:b w:val="0"/>
          <w:bCs w:val="0"/>
          <w:vertAlign w:val="superscript"/>
          <w:lang w:val="en-GB"/>
        </w:rPr>
        <w:t>st</w:t>
      </w:r>
      <w:r>
        <w:rPr>
          <w:rFonts w:ascii="Arial" w:hAnsi="Arial" w:cs="Arial"/>
          <w:b w:val="0"/>
          <w:bCs w:val="0"/>
          <w:vertAlign w:val="superscript"/>
          <w:lang w:val="en-GB"/>
        </w:rPr>
        <w:t xml:space="preserve"> </w:t>
      </w:r>
      <w:r w:rsidRPr="00C5167B">
        <w:rPr>
          <w:rFonts w:ascii="Arial" w:hAnsi="Arial" w:cs="Arial"/>
          <w:b w:val="0"/>
          <w:bCs w:val="0"/>
          <w:vertAlign w:val="superscript"/>
          <w:lang w:val="en-GB"/>
        </w:rPr>
        <w:t>T</w:t>
      </w:r>
      <w:r w:rsidRPr="00C5167B">
        <w:rPr>
          <w:rFonts w:ascii="Arial" w:hAnsi="Arial" w:cs="Arial"/>
          <w:b w:val="0"/>
          <w:bCs w:val="0"/>
          <w:lang w:val="en-GB"/>
        </w:rPr>
        <w:t xml:space="preserve"> </w:t>
      </w:r>
      <w:proofErr w:type="gramStart"/>
      <w:r w:rsidRPr="00C5167B">
        <w:rPr>
          <w:rFonts w:ascii="Arial" w:hAnsi="Arial" w:cs="Arial"/>
          <w:b w:val="0"/>
          <w:bCs w:val="0"/>
          <w:lang w:val="en-GB"/>
        </w:rPr>
        <w:t>December,</w:t>
      </w:r>
      <w:proofErr w:type="gramEnd"/>
      <w:r w:rsidRPr="00C5167B">
        <w:rPr>
          <w:rFonts w:ascii="Arial" w:hAnsi="Arial" w:cs="Arial"/>
          <w:b w:val="0"/>
          <w:bCs w:val="0"/>
          <w:lang w:val="en-GB"/>
        </w:rPr>
        <w:t xml:space="preserve"> 2014 - 30</w:t>
      </w:r>
      <w:r w:rsidRPr="00C5167B">
        <w:rPr>
          <w:rFonts w:ascii="Arial" w:hAnsi="Arial" w:cs="Arial"/>
          <w:b w:val="0"/>
          <w:bCs w:val="0"/>
          <w:vertAlign w:val="superscript"/>
          <w:lang w:val="en-GB"/>
        </w:rPr>
        <w:t>th</w:t>
      </w:r>
      <w:r w:rsidRPr="00C5167B">
        <w:rPr>
          <w:rFonts w:ascii="Arial" w:hAnsi="Arial" w:cs="Arial"/>
          <w:b w:val="0"/>
          <w:bCs w:val="0"/>
          <w:lang w:val="en-GB"/>
        </w:rPr>
        <w:t xml:space="preserve"> June, 2019). Mimeo, 63 pp.</w:t>
      </w:r>
    </w:p>
    <w:p w14:paraId="336076ED" w14:textId="77777777" w:rsidR="00C5167B" w:rsidRDefault="00C5167B" w:rsidP="00F971EE">
      <w:pPr>
        <w:jc w:val="both"/>
        <w:rPr>
          <w:rFonts w:ascii="Arial" w:hAnsi="Arial" w:cs="Arial"/>
        </w:rPr>
      </w:pPr>
    </w:p>
    <w:p w14:paraId="02945B18" w14:textId="3317CEAC" w:rsidR="0071461D" w:rsidRPr="00F971EE" w:rsidRDefault="0071461D" w:rsidP="00F971EE">
      <w:pPr>
        <w:jc w:val="both"/>
        <w:rPr>
          <w:rFonts w:ascii="Arial" w:hAnsi="Arial" w:cs="Arial"/>
        </w:rPr>
      </w:pPr>
      <w:proofErr w:type="spellStart"/>
      <w:r w:rsidRPr="00F971EE">
        <w:rPr>
          <w:rFonts w:ascii="Arial" w:hAnsi="Arial" w:cs="Arial"/>
        </w:rPr>
        <w:t>Friis</w:t>
      </w:r>
      <w:proofErr w:type="spellEnd"/>
      <w:r w:rsidRPr="00F971EE">
        <w:rPr>
          <w:rFonts w:ascii="Arial" w:hAnsi="Arial" w:cs="Arial"/>
        </w:rPr>
        <w:t xml:space="preserve">-Hansen, E., and </w:t>
      </w:r>
      <w:proofErr w:type="spellStart"/>
      <w:r w:rsidRPr="00F971EE">
        <w:rPr>
          <w:rFonts w:ascii="Arial" w:hAnsi="Arial" w:cs="Arial"/>
        </w:rPr>
        <w:t>Duveskog</w:t>
      </w:r>
      <w:proofErr w:type="spellEnd"/>
      <w:r w:rsidRPr="00F971EE">
        <w:rPr>
          <w:rFonts w:ascii="Arial" w:hAnsi="Arial" w:cs="Arial"/>
        </w:rPr>
        <w:t xml:space="preserve">, D. (2012). The Empowerment Route to Well-being: An Analysis of Farmer Field Schools in East Africa, </w:t>
      </w:r>
      <w:r w:rsidRPr="00F971EE">
        <w:rPr>
          <w:rFonts w:ascii="Arial" w:hAnsi="Arial" w:cs="Arial"/>
          <w:i/>
          <w:iCs/>
        </w:rPr>
        <w:t>World Development</w:t>
      </w:r>
      <w:r w:rsidRPr="00F971EE">
        <w:rPr>
          <w:rFonts w:ascii="Arial" w:hAnsi="Arial" w:cs="Arial"/>
        </w:rPr>
        <w:t xml:space="preserve"> 40 (2): 414–427.</w:t>
      </w:r>
    </w:p>
    <w:p w14:paraId="798C3A93" w14:textId="3F1C7919" w:rsidR="00191FBD" w:rsidRPr="00F971EE" w:rsidRDefault="00E5367F" w:rsidP="00F971EE">
      <w:pPr>
        <w:jc w:val="both"/>
        <w:rPr>
          <w:rFonts w:ascii="Arial" w:hAnsi="Arial" w:cs="Arial"/>
          <w:color w:val="FF0000"/>
        </w:rPr>
      </w:pPr>
      <w:r w:rsidRPr="00F971EE">
        <w:rPr>
          <w:rFonts w:ascii="Arial" w:hAnsi="Arial" w:cs="Arial"/>
          <w:color w:val="FF0000"/>
        </w:rPr>
        <w:t>International Institute for Rural Reconstruction (</w:t>
      </w:r>
      <w:r w:rsidR="00191FBD" w:rsidRPr="00F971EE">
        <w:rPr>
          <w:rFonts w:ascii="Arial" w:hAnsi="Arial" w:cs="Arial"/>
          <w:color w:val="FF0000"/>
        </w:rPr>
        <w:t>IIRR</w:t>
      </w:r>
      <w:r w:rsidRPr="00F971EE">
        <w:rPr>
          <w:rFonts w:ascii="Arial" w:hAnsi="Arial" w:cs="Arial"/>
          <w:color w:val="FF0000"/>
        </w:rPr>
        <w:t>) (</w:t>
      </w:r>
      <w:r w:rsidR="00191FBD" w:rsidRPr="00F971EE">
        <w:rPr>
          <w:rFonts w:ascii="Arial" w:hAnsi="Arial" w:cs="Arial"/>
          <w:color w:val="FF0000"/>
        </w:rPr>
        <w:t xml:space="preserve">2000). </w:t>
      </w:r>
    </w:p>
    <w:p w14:paraId="0C9D29DC" w14:textId="5A0FCB24" w:rsidR="005E575C" w:rsidRPr="00F971EE" w:rsidRDefault="005E575C" w:rsidP="00F971EE">
      <w:pPr>
        <w:jc w:val="both"/>
        <w:rPr>
          <w:rFonts w:ascii="Arial" w:hAnsi="Arial" w:cs="Arial"/>
        </w:rPr>
      </w:pPr>
      <w:r w:rsidRPr="00F971EE">
        <w:rPr>
          <w:rFonts w:ascii="Arial" w:hAnsi="Arial" w:cs="Arial"/>
        </w:rPr>
        <w:t xml:space="preserve">International Food Policy Research Institute (IFPRI) (2019). What does it take to scale agricultural technologies in Malawi? </w:t>
      </w:r>
      <w:hyperlink r:id="rId15" w:history="1">
        <w:r w:rsidRPr="00F971EE">
          <w:rPr>
            <w:rStyle w:val="Hyperlink"/>
            <w:rFonts w:ascii="Arial" w:hAnsi="Arial" w:cs="Arial"/>
          </w:rPr>
          <w:t>https://massp.ifpri.info/2018/03/16/what-does-it-take-to-scale-agricultural-technologies-in-malawi/</w:t>
        </w:r>
      </w:hyperlink>
      <w:r w:rsidRPr="00F971EE">
        <w:rPr>
          <w:rFonts w:ascii="Arial" w:hAnsi="Arial" w:cs="Arial"/>
        </w:rPr>
        <w:t xml:space="preserve">. Accessed 17 October 2019. </w:t>
      </w:r>
    </w:p>
    <w:p w14:paraId="7D639C61" w14:textId="0B0688AB" w:rsidR="008B4AF1" w:rsidRPr="00F971EE" w:rsidRDefault="008B4AF1" w:rsidP="00F971EE">
      <w:pPr>
        <w:jc w:val="both"/>
        <w:rPr>
          <w:rFonts w:ascii="Arial" w:hAnsi="Arial" w:cs="Arial"/>
        </w:rPr>
      </w:pPr>
      <w:r w:rsidRPr="00F971EE">
        <w:rPr>
          <w:rFonts w:ascii="Arial" w:hAnsi="Arial" w:cs="Arial"/>
        </w:rPr>
        <w:t>International Livestock Research Institute (ILRI) (2015). Feed the Future: Accelerated Value Chain Development Program for Kenya. Project proposal submitted to USAID-Kenya. Mimeo, 139 pp.</w:t>
      </w:r>
    </w:p>
    <w:p w14:paraId="1489A7C5" w14:textId="6217301F" w:rsidR="008B4AF1" w:rsidRPr="00F971EE" w:rsidRDefault="00B711FF" w:rsidP="00F971EE">
      <w:pPr>
        <w:jc w:val="both"/>
        <w:rPr>
          <w:rFonts w:ascii="Arial" w:hAnsi="Arial" w:cs="Arial"/>
        </w:rPr>
      </w:pPr>
      <w:r w:rsidRPr="00F971EE">
        <w:rPr>
          <w:rFonts w:ascii="Arial" w:hAnsi="Arial" w:cs="Arial"/>
        </w:rPr>
        <w:t xml:space="preserve">International Crops Research Institute for the Semi-arid Tropics </w:t>
      </w:r>
      <w:r w:rsidR="008B4AF1" w:rsidRPr="00F971EE">
        <w:rPr>
          <w:rFonts w:ascii="Arial" w:hAnsi="Arial" w:cs="Arial"/>
        </w:rPr>
        <w:t>(ICRISAT) (2013). Improving Livelihoods for Smallholder Farmers: enhanced Grain Legume Productivity and Production in Sub-Saharan Africa and South Asia. Project proposal submitted to the Bill &amp; Melinda Gates Foundation. Mimeo, 35 pp.</w:t>
      </w:r>
    </w:p>
    <w:p w14:paraId="3612277B" w14:textId="77777777" w:rsidR="00362AF3" w:rsidRPr="00F971EE" w:rsidRDefault="00362AF3" w:rsidP="00362AF3">
      <w:pPr>
        <w:jc w:val="both"/>
        <w:rPr>
          <w:rFonts w:ascii="Arial" w:hAnsi="Arial" w:cs="Arial"/>
        </w:rPr>
      </w:pPr>
      <w:r w:rsidRPr="00F971EE">
        <w:rPr>
          <w:rFonts w:ascii="Arial" w:hAnsi="Arial" w:cs="Arial"/>
        </w:rPr>
        <w:t>International Crops Research Institute for the Semi-arid Tropics (ICRISAT) (2014). Harnessing Opportunities for Productivity Enhancement (HOPE) of Sorghum and Millets in Sub-Saharan Africa – Phase 2. Project proposal submitted to the Bill &amp; Melinda Gates Foundation. Mimeo, 36 pp.</w:t>
      </w:r>
    </w:p>
    <w:p w14:paraId="08190471" w14:textId="015E6E8A" w:rsidR="00867A8B" w:rsidRPr="00F971EE" w:rsidRDefault="00BE5EB2" w:rsidP="00F971EE">
      <w:pPr>
        <w:pStyle w:val="Heading4"/>
        <w:shd w:val="clear" w:color="auto" w:fill="FFFFFF"/>
        <w:spacing w:before="0" w:after="270"/>
        <w:jc w:val="both"/>
        <w:textAlignment w:val="baseline"/>
        <w:rPr>
          <w:rFonts w:ascii="Arial" w:hAnsi="Arial" w:cs="Arial"/>
          <w:i w:val="0"/>
          <w:iCs w:val="0"/>
          <w:color w:val="auto"/>
        </w:rPr>
      </w:pPr>
      <w:r w:rsidRPr="00F971EE">
        <w:rPr>
          <w:rFonts w:ascii="Arial" w:hAnsi="Arial" w:cs="Arial"/>
          <w:i w:val="0"/>
          <w:iCs w:val="0"/>
          <w:color w:val="auto"/>
        </w:rPr>
        <w:lastRenderedPageBreak/>
        <w:t>International Crops Research Institute for the Semi-arid Tropics (ICRISAT) (2019</w:t>
      </w:r>
      <w:r w:rsidR="00362AF3">
        <w:rPr>
          <w:rFonts w:ascii="Arial" w:hAnsi="Arial" w:cs="Arial"/>
          <w:i w:val="0"/>
          <w:iCs w:val="0"/>
          <w:color w:val="auto"/>
        </w:rPr>
        <w:t>a</w:t>
      </w:r>
      <w:r w:rsidRPr="00F971EE">
        <w:rPr>
          <w:rFonts w:ascii="Arial" w:hAnsi="Arial" w:cs="Arial"/>
          <w:i w:val="0"/>
          <w:iCs w:val="0"/>
          <w:color w:val="auto"/>
        </w:rPr>
        <w:t>).</w:t>
      </w:r>
      <w:r w:rsidR="00867A8B" w:rsidRPr="00F971EE">
        <w:rPr>
          <w:rFonts w:ascii="Arial" w:hAnsi="Arial" w:cs="Arial"/>
          <w:b/>
          <w:bCs/>
          <w:color w:val="auto"/>
        </w:rPr>
        <w:t xml:space="preserve"> </w:t>
      </w:r>
      <w:r w:rsidR="00867A8B" w:rsidRPr="00F971EE">
        <w:rPr>
          <w:rFonts w:ascii="Arial" w:hAnsi="Arial" w:cs="Arial"/>
          <w:i w:val="0"/>
          <w:iCs w:val="0"/>
          <w:color w:val="auto"/>
        </w:rPr>
        <w:t xml:space="preserve">Millets, Sorghum, and Grain Legumes: </w:t>
      </w:r>
      <w:proofErr w:type="gramStart"/>
      <w:r w:rsidR="00867A8B" w:rsidRPr="00F971EE">
        <w:rPr>
          <w:rFonts w:ascii="Arial" w:hAnsi="Arial" w:cs="Arial"/>
          <w:i w:val="0"/>
          <w:iCs w:val="0"/>
          <w:color w:val="auto"/>
        </w:rPr>
        <w:t>the</w:t>
      </w:r>
      <w:proofErr w:type="gramEnd"/>
      <w:r w:rsidR="00867A8B" w:rsidRPr="00F971EE">
        <w:rPr>
          <w:rFonts w:ascii="Arial" w:hAnsi="Arial" w:cs="Arial"/>
          <w:i w:val="0"/>
          <w:iCs w:val="0"/>
          <w:color w:val="auto"/>
        </w:rPr>
        <w:t xml:space="preserve"> Smart Foods of the Future</w:t>
      </w:r>
      <w:r w:rsidR="00867A8B" w:rsidRPr="00F971EE">
        <w:rPr>
          <w:rFonts w:ascii="Arial" w:hAnsi="Arial" w:cs="Arial"/>
          <w:color w:val="auto"/>
        </w:rPr>
        <w:t xml:space="preserve">. </w:t>
      </w:r>
      <w:hyperlink r:id="rId16" w:history="1">
        <w:r w:rsidR="00867A8B" w:rsidRPr="00F971EE">
          <w:rPr>
            <w:rStyle w:val="Hyperlink"/>
            <w:rFonts w:ascii="Arial" w:hAnsi="Arial" w:cs="Arial"/>
            <w:i w:val="0"/>
            <w:iCs w:val="0"/>
          </w:rPr>
          <w:t>https://www.icrisat.org/millets-sorghum-and-grain-legumes-the-smart-foods-of-the-future/</w:t>
        </w:r>
      </w:hyperlink>
      <w:r w:rsidR="00F317BE" w:rsidRPr="00F971EE">
        <w:rPr>
          <w:rFonts w:ascii="Arial" w:hAnsi="Arial" w:cs="Arial"/>
          <w:i w:val="0"/>
          <w:iCs w:val="0"/>
        </w:rPr>
        <w:t>.</w:t>
      </w:r>
      <w:r w:rsidR="00F317BE" w:rsidRPr="00F971EE">
        <w:rPr>
          <w:rFonts w:ascii="Arial" w:hAnsi="Arial" w:cs="Arial"/>
        </w:rPr>
        <w:t xml:space="preserve"> </w:t>
      </w:r>
      <w:r w:rsidR="00F317BE" w:rsidRPr="00F971EE">
        <w:rPr>
          <w:rFonts w:ascii="Arial" w:hAnsi="Arial" w:cs="Arial"/>
          <w:i w:val="0"/>
          <w:iCs w:val="0"/>
          <w:color w:val="auto"/>
        </w:rPr>
        <w:t>Accessed 21 October 2019.</w:t>
      </w:r>
    </w:p>
    <w:p w14:paraId="5A7DB8F1" w14:textId="1EC35104" w:rsidR="00CF2FCD" w:rsidRPr="00F971EE" w:rsidRDefault="00CF2FCD" w:rsidP="00F971EE">
      <w:pPr>
        <w:jc w:val="both"/>
        <w:rPr>
          <w:rFonts w:ascii="Arial" w:hAnsi="Arial" w:cs="Arial"/>
        </w:rPr>
      </w:pPr>
      <w:r w:rsidRPr="00F971EE">
        <w:rPr>
          <w:rFonts w:ascii="Arial" w:hAnsi="Arial" w:cs="Arial"/>
        </w:rPr>
        <w:t>International Crops Research Institute for the Semi-arid Tropics (ICRISAT) (2019</w:t>
      </w:r>
      <w:r w:rsidR="00362AF3">
        <w:rPr>
          <w:rFonts w:ascii="Arial" w:hAnsi="Arial" w:cs="Arial"/>
        </w:rPr>
        <w:t>b</w:t>
      </w:r>
      <w:r w:rsidRPr="00F971EE">
        <w:rPr>
          <w:rFonts w:ascii="Arial" w:hAnsi="Arial" w:cs="Arial"/>
        </w:rPr>
        <w:t>). Stories of Impact. From the Drought Tolerant Crops Value Chain. Mimeo, 51 pp.</w:t>
      </w:r>
    </w:p>
    <w:p w14:paraId="3FB114D1" w14:textId="02523FBB" w:rsidR="00F018F1" w:rsidRPr="00F971EE" w:rsidRDefault="00F018F1" w:rsidP="00F971EE">
      <w:pPr>
        <w:pStyle w:val="Heading1"/>
        <w:shd w:val="clear" w:color="auto" w:fill="EEEEEE"/>
        <w:jc w:val="both"/>
        <w:rPr>
          <w:rFonts w:ascii="Arial" w:hAnsi="Arial" w:cs="Arial"/>
          <w:b w:val="0"/>
          <w:bCs w:val="0"/>
          <w:color w:val="504C48"/>
          <w:sz w:val="22"/>
          <w:szCs w:val="22"/>
        </w:rPr>
      </w:pPr>
      <w:r w:rsidRPr="00F971EE">
        <w:rPr>
          <w:rFonts w:ascii="Arial" w:hAnsi="Arial" w:cs="Arial"/>
          <w:b w:val="0"/>
          <w:bCs w:val="0"/>
          <w:sz w:val="22"/>
          <w:szCs w:val="22"/>
        </w:rPr>
        <w:t>International Crops Research Institute for the Semi-arid Tropics (ICRISAT) (2018).</w:t>
      </w:r>
      <w:r w:rsidRPr="00F971EE">
        <w:rPr>
          <w:rStyle w:val="FooterChar"/>
          <w:rFonts w:ascii="Arial" w:hAnsi="Arial" w:cs="Arial"/>
          <w:b w:val="0"/>
          <w:bCs w:val="0"/>
          <w:color w:val="504C48"/>
          <w:sz w:val="22"/>
          <w:szCs w:val="22"/>
        </w:rPr>
        <w:t xml:space="preserve"> </w:t>
      </w:r>
      <w:r w:rsidRPr="00F971EE">
        <w:rPr>
          <w:rStyle w:val="j-title-breadcrumb"/>
          <w:rFonts w:ascii="Arial" w:hAnsi="Arial" w:cs="Arial"/>
          <w:b w:val="0"/>
          <w:bCs w:val="0"/>
          <w:color w:val="504C48"/>
          <w:sz w:val="22"/>
          <w:szCs w:val="22"/>
        </w:rPr>
        <w:t xml:space="preserve">Assessing impacts of ICRISAT Behaviour change nutrition activities in Kenya. </w:t>
      </w:r>
      <w:hyperlink r:id="rId17" w:history="1">
        <w:r w:rsidRPr="00F971EE">
          <w:rPr>
            <w:rStyle w:val="Hyperlink"/>
            <w:rFonts w:ascii="Arial" w:hAnsi="Arial" w:cs="Arial"/>
            <w:b w:val="0"/>
            <w:bCs w:val="0"/>
            <w:sz w:val="22"/>
            <w:szCs w:val="22"/>
          </w:rPr>
          <w:t>https://www.slideshare.net/ICRISATESA/assessing-impacts-of-icrisat-behaviour-change-nutrition-activities-in-kenya?qid=6941d88a-96cc-4528-b5cb-6030974cc3ba&amp;v=&amp;b=&amp;from_search=4</w:t>
        </w:r>
      </w:hyperlink>
    </w:p>
    <w:p w14:paraId="73F7FD08" w14:textId="5D847565" w:rsidR="00C55604" w:rsidRPr="00F971EE" w:rsidRDefault="00C55604" w:rsidP="00F971EE">
      <w:pPr>
        <w:pStyle w:val="Heading1"/>
        <w:shd w:val="clear" w:color="auto" w:fill="FFFFFF"/>
        <w:spacing w:before="0" w:beforeAutospacing="0" w:after="0" w:afterAutospacing="0"/>
        <w:jc w:val="both"/>
        <w:rPr>
          <w:rFonts w:ascii="Arial" w:hAnsi="Arial" w:cs="Arial"/>
          <w:b w:val="0"/>
          <w:bCs w:val="0"/>
          <w:sz w:val="22"/>
          <w:szCs w:val="22"/>
        </w:rPr>
      </w:pPr>
      <w:r w:rsidRPr="00F971EE">
        <w:rPr>
          <w:rFonts w:ascii="Arial" w:hAnsi="Arial" w:cs="Arial"/>
          <w:b w:val="0"/>
          <w:bCs w:val="0"/>
          <w:sz w:val="22"/>
          <w:szCs w:val="22"/>
        </w:rPr>
        <w:t xml:space="preserve">International Food Policy Research Institute (IFPRI), Malawi (2018). Scaling up agriculture technologies in Malawi: A study of approaches used by agriculture research and development organizations. </w:t>
      </w:r>
      <w:hyperlink r:id="rId18" w:history="1">
        <w:r w:rsidRPr="00F971EE">
          <w:rPr>
            <w:rStyle w:val="Hyperlink"/>
            <w:rFonts w:ascii="Arial" w:hAnsi="Arial" w:cs="Arial"/>
            <w:b w:val="0"/>
            <w:bCs w:val="0"/>
            <w:sz w:val="22"/>
            <w:szCs w:val="22"/>
          </w:rPr>
          <w:t>https://massp.ifpri.info/2018/10/09/scaling-up-agriculture-technologies-in-malawi-a-study-of-approaches-used-by-agriculture-research-and-development-organizations/</w:t>
        </w:r>
      </w:hyperlink>
    </w:p>
    <w:p w14:paraId="181A87A4" w14:textId="77777777" w:rsidR="0020786D" w:rsidRPr="00F971EE" w:rsidRDefault="0020786D" w:rsidP="00F971EE">
      <w:pPr>
        <w:jc w:val="both"/>
        <w:rPr>
          <w:rFonts w:ascii="Arial" w:hAnsi="Arial" w:cs="Arial"/>
        </w:rPr>
      </w:pPr>
    </w:p>
    <w:p w14:paraId="34AB6F43" w14:textId="77777777" w:rsidR="0020786D" w:rsidRPr="00362AF3" w:rsidRDefault="0020786D" w:rsidP="00F971EE">
      <w:pPr>
        <w:jc w:val="both"/>
        <w:rPr>
          <w:rFonts w:ascii="Arial" w:hAnsi="Arial" w:cs="Arial"/>
          <w:color w:val="FF0000"/>
        </w:rPr>
      </w:pPr>
      <w:r w:rsidRPr="00362AF3">
        <w:rPr>
          <w:rFonts w:ascii="Arial" w:hAnsi="Arial" w:cs="Arial"/>
          <w:color w:val="FF0000"/>
        </w:rPr>
        <w:fldChar w:fldCharType="begin" w:fldLock="1"/>
      </w:r>
      <w:r w:rsidRPr="00362AF3">
        <w:rPr>
          <w:rFonts w:ascii="Arial" w:hAnsi="Arial" w:cs="Arial"/>
          <w:color w:val="FF0000"/>
        </w:rPr>
        <w:instrText>ADDIN CSL_CITATION { "citationItems" : [ { "id" : "ITEM-1", "itemData" : { "ISSN" : "00029092, 14678276", "abstract" : "[We propose a theoretical framework to analyze the conditions under which a farmer facing production uncertainty (due to a possible water shortage) and incomplete information will adopt a more efficient irrigation technology. A reduced form of this model is empirically estimated using a sample of 265 farms located in Crete, Greece. The empirical results suggest that farmers choose to adopt the new technology in order to hedge against production risk. In addition, we show that the farmer's human capital also plays a significant role in the decision to adopt modern, more efficient irrigation equipment.]", "author" : [ { "dropping-particle" : "", "family" : "Koundouri", "given" : "Phoebe", "non-dropping-particle" : "", "parse-names" : false, "suffix" : "" }, { "dropping-particle" : "", "family" : "Nauges", "given" : "C\u00e9line", "non-dropping-particle" : "", "parse-names" : false, "suffix" : "" }, { "dropping-particle" : "", "family" : "Tzouvelekas", "given" : "Vangelis", "non-dropping-particle" : "", "parse-names" : false, "suffix" : "" } ], "container-title" : "American Journal of Agricultural Economics", "id" : "ITEM-1", "issue" : "3", "issued" : { "date-parts" : [ [ "2006" ] ] }, "page" : "657-670", "publisher" : "[Agricultural &amp; Applied Economics Association, Oxford University Press]", "title" : "Technology Adoption under Production Uncertainty: Theory and Application to Irrigation Technology", "type" : "article-journal", "volume" : "88" }, "uris" : [ "http://www.mendeley.com/documents/?uuid=9228533c-9e87-4f91-abff-fbf712eb213b" ] } ], "mendeley" : { "formattedCitation" : "(Koundouri, Nauges, &amp; Tzouvelekas, 2006)", "plainTextFormattedCitation" : "(Koundouri, Nauges, &amp; Tzouvelekas, 2006)", "previouslyFormattedCitation" : "(Koundouri, Nauges, &amp; Tzouvelekas, 2006)" }, "properties" : { "noteIndex" : 0 }, "schema" : "https://github.com/citation-style-language/schema/raw/master/csl-citation.json" }</w:instrText>
      </w:r>
      <w:r w:rsidRPr="00362AF3">
        <w:rPr>
          <w:rFonts w:ascii="Arial" w:hAnsi="Arial" w:cs="Arial"/>
          <w:color w:val="FF0000"/>
        </w:rPr>
        <w:fldChar w:fldCharType="separate"/>
      </w:r>
      <w:r w:rsidRPr="00362AF3">
        <w:rPr>
          <w:rFonts w:ascii="Arial" w:hAnsi="Arial" w:cs="Arial"/>
          <w:noProof/>
          <w:color w:val="FF0000"/>
        </w:rPr>
        <w:t>(Koundouri, Nauges, &amp; Tzouvelekas, 2006)</w:t>
      </w:r>
      <w:r w:rsidRPr="00362AF3">
        <w:rPr>
          <w:rFonts w:ascii="Arial" w:hAnsi="Arial" w:cs="Arial"/>
          <w:color w:val="FF0000"/>
        </w:rPr>
        <w:fldChar w:fldCharType="end"/>
      </w:r>
      <w:r w:rsidRPr="00362AF3">
        <w:rPr>
          <w:rFonts w:ascii="Arial" w:hAnsi="Arial" w:cs="Arial"/>
          <w:color w:val="FF0000"/>
        </w:rPr>
        <w:t>.</w:t>
      </w:r>
    </w:p>
    <w:p w14:paraId="5A33AC9F" w14:textId="4CD25952" w:rsidR="00DE5F65" w:rsidRPr="00F971EE" w:rsidRDefault="00DE5F65" w:rsidP="00F971EE">
      <w:pPr>
        <w:jc w:val="both"/>
        <w:rPr>
          <w:rFonts w:ascii="Arial" w:hAnsi="Arial" w:cs="Arial"/>
        </w:rPr>
      </w:pPr>
      <w:proofErr w:type="spellStart"/>
      <w:r w:rsidRPr="00F971EE">
        <w:rPr>
          <w:rFonts w:ascii="Arial" w:hAnsi="Arial" w:cs="Arial"/>
        </w:rPr>
        <w:t>Lenjiso</w:t>
      </w:r>
      <w:proofErr w:type="spellEnd"/>
      <w:r w:rsidRPr="00F971EE">
        <w:rPr>
          <w:rFonts w:ascii="Arial" w:hAnsi="Arial" w:cs="Arial"/>
        </w:rPr>
        <w:t xml:space="preserve">, B.M., Smits, J., and Ruben, R. (2016) 'Transforming gender relations through the market: smallholder milk market participation and women's intra-household bargaining power in Ethiopia', </w:t>
      </w:r>
      <w:r w:rsidRPr="00F971EE">
        <w:rPr>
          <w:rFonts w:ascii="Arial" w:hAnsi="Arial" w:cs="Arial"/>
          <w:i/>
          <w:iCs/>
        </w:rPr>
        <w:t>Journal of Development Studies</w:t>
      </w:r>
      <w:r w:rsidRPr="00F971EE">
        <w:rPr>
          <w:rFonts w:ascii="Arial" w:hAnsi="Arial" w:cs="Arial"/>
        </w:rPr>
        <w:t xml:space="preserve"> 52(7): 1002–15.</w:t>
      </w:r>
    </w:p>
    <w:p w14:paraId="4D8C400B" w14:textId="77777777" w:rsidR="0020786D" w:rsidRPr="00362AF3" w:rsidRDefault="0020786D" w:rsidP="00F971EE">
      <w:pPr>
        <w:jc w:val="both"/>
        <w:rPr>
          <w:rFonts w:ascii="Arial" w:hAnsi="Arial" w:cs="Arial"/>
          <w:color w:val="FF0000"/>
        </w:rPr>
      </w:pPr>
      <w:r w:rsidRPr="00362AF3">
        <w:rPr>
          <w:rFonts w:ascii="Arial" w:hAnsi="Arial" w:cs="Arial"/>
          <w:color w:val="FF0000"/>
        </w:rPr>
        <w:t xml:space="preserve">Linn 2012; </w:t>
      </w:r>
    </w:p>
    <w:p w14:paraId="1881B652" w14:textId="77777777" w:rsidR="0020786D" w:rsidRPr="00362AF3" w:rsidRDefault="0020786D" w:rsidP="00F971EE">
      <w:pPr>
        <w:jc w:val="both"/>
        <w:rPr>
          <w:rFonts w:ascii="Arial" w:hAnsi="Arial" w:cs="Arial"/>
          <w:color w:val="FF0000"/>
        </w:rPr>
      </w:pPr>
      <w:proofErr w:type="spellStart"/>
      <w:r w:rsidRPr="00362AF3">
        <w:rPr>
          <w:rFonts w:ascii="Arial" w:hAnsi="Arial" w:cs="Arial"/>
          <w:color w:val="FF0000"/>
        </w:rPr>
        <w:t>Fatubi</w:t>
      </w:r>
      <w:proofErr w:type="spellEnd"/>
      <w:r w:rsidRPr="00362AF3">
        <w:rPr>
          <w:rFonts w:ascii="Arial" w:hAnsi="Arial" w:cs="Arial"/>
          <w:color w:val="FF0000"/>
        </w:rPr>
        <w:t xml:space="preserve"> et al. 2015; </w:t>
      </w:r>
    </w:p>
    <w:p w14:paraId="433C36D7" w14:textId="77777777" w:rsidR="0020786D" w:rsidRPr="00362AF3" w:rsidRDefault="0020786D" w:rsidP="00F971EE">
      <w:pPr>
        <w:jc w:val="both"/>
        <w:rPr>
          <w:rFonts w:ascii="Arial" w:hAnsi="Arial" w:cs="Arial"/>
          <w:color w:val="FF0000"/>
        </w:rPr>
      </w:pPr>
      <w:r w:rsidRPr="00362AF3">
        <w:rPr>
          <w:rFonts w:ascii="Arial" w:hAnsi="Arial" w:cs="Arial"/>
          <w:color w:val="FF0000"/>
        </w:rPr>
        <w:t>Hughes et al., 2018),</w:t>
      </w:r>
    </w:p>
    <w:p w14:paraId="05E8C2F7" w14:textId="77777777" w:rsidR="0020786D" w:rsidRPr="00F971EE" w:rsidRDefault="0020786D" w:rsidP="00F971EE">
      <w:pPr>
        <w:jc w:val="both"/>
        <w:rPr>
          <w:rFonts w:ascii="Arial" w:hAnsi="Arial" w:cs="Arial"/>
        </w:rPr>
      </w:pPr>
    </w:p>
    <w:p w14:paraId="3C147B19" w14:textId="3940CC42" w:rsidR="00426E77" w:rsidRPr="00F971EE" w:rsidRDefault="00426E77" w:rsidP="00F971EE">
      <w:pPr>
        <w:jc w:val="both"/>
        <w:rPr>
          <w:rFonts w:ascii="Arial" w:hAnsi="Arial" w:cs="Arial"/>
        </w:rPr>
      </w:pPr>
      <w:r w:rsidRPr="00F971EE">
        <w:rPr>
          <w:rFonts w:ascii="Arial" w:hAnsi="Arial" w:cs="Arial"/>
        </w:rPr>
        <w:t xml:space="preserve">Little, P. D., </w:t>
      </w:r>
      <w:proofErr w:type="spellStart"/>
      <w:r w:rsidRPr="00F971EE">
        <w:rPr>
          <w:rFonts w:ascii="Arial" w:hAnsi="Arial" w:cs="Arial"/>
        </w:rPr>
        <w:t>Debsu</w:t>
      </w:r>
      <w:proofErr w:type="spellEnd"/>
      <w:r w:rsidRPr="00F971EE">
        <w:rPr>
          <w:rFonts w:ascii="Arial" w:hAnsi="Arial" w:cs="Arial"/>
        </w:rPr>
        <w:t xml:space="preserve">, D. N., and Tiki, W. (2014), How pastoralists perceive and respond to market opportunities: The case of the Horn of Africa, </w:t>
      </w:r>
      <w:r w:rsidRPr="00F971EE">
        <w:rPr>
          <w:rFonts w:ascii="Arial" w:hAnsi="Arial" w:cs="Arial"/>
          <w:i/>
          <w:iCs/>
        </w:rPr>
        <w:t>Food Policy</w:t>
      </w:r>
      <w:r w:rsidRPr="00F971EE">
        <w:rPr>
          <w:rFonts w:ascii="Arial" w:hAnsi="Arial" w:cs="Arial"/>
        </w:rPr>
        <w:t xml:space="preserve"> 49:389–397.</w:t>
      </w:r>
    </w:p>
    <w:p w14:paraId="00193079" w14:textId="58E68FF8" w:rsidR="002B0DCA" w:rsidRDefault="002B0DCA" w:rsidP="00362AF3">
      <w:pPr>
        <w:spacing w:line="240" w:lineRule="auto"/>
        <w:contextualSpacing/>
        <w:jc w:val="both"/>
        <w:rPr>
          <w:rFonts w:ascii="Arial" w:hAnsi="Arial" w:cs="Arial"/>
        </w:rPr>
      </w:pPr>
      <w:r w:rsidRPr="00362AF3">
        <w:rPr>
          <w:rFonts w:ascii="Arial" w:hAnsi="Arial" w:cs="Arial"/>
        </w:rPr>
        <w:t>Magruder, J</w:t>
      </w:r>
      <w:r w:rsidR="00362AF3" w:rsidRPr="00362AF3">
        <w:rPr>
          <w:rFonts w:ascii="Arial" w:hAnsi="Arial" w:cs="Arial"/>
        </w:rPr>
        <w:t xml:space="preserve">. (2018). </w:t>
      </w:r>
      <w:r w:rsidRPr="00362AF3">
        <w:rPr>
          <w:rFonts w:ascii="Arial" w:hAnsi="Arial" w:cs="Arial"/>
        </w:rPr>
        <w:t xml:space="preserve">An Assessment of Experimental Evidence on Agricultural Technology Adoption in Developing Countries, </w:t>
      </w:r>
      <w:r w:rsidRPr="00362AF3">
        <w:rPr>
          <w:rFonts w:ascii="Arial" w:hAnsi="Arial" w:cs="Arial"/>
          <w:i/>
          <w:iCs/>
        </w:rPr>
        <w:t xml:space="preserve">Annual Review of Resource </w:t>
      </w:r>
      <w:proofErr w:type="gramStart"/>
      <w:r w:rsidRPr="00362AF3">
        <w:rPr>
          <w:rFonts w:ascii="Arial" w:hAnsi="Arial" w:cs="Arial"/>
          <w:i/>
          <w:iCs/>
        </w:rPr>
        <w:t>Economics</w:t>
      </w:r>
      <w:r w:rsidRPr="00362AF3">
        <w:rPr>
          <w:rFonts w:ascii="Arial" w:hAnsi="Arial" w:cs="Arial"/>
        </w:rPr>
        <w:t xml:space="preserve">,  </w:t>
      </w:r>
      <w:r w:rsidR="00362AF3">
        <w:rPr>
          <w:rFonts w:ascii="Arial" w:hAnsi="Arial" w:cs="Arial"/>
        </w:rPr>
        <w:t>1</w:t>
      </w:r>
      <w:r w:rsidRPr="00362AF3">
        <w:rPr>
          <w:rFonts w:ascii="Arial" w:hAnsi="Arial" w:cs="Arial"/>
        </w:rPr>
        <w:t>0</w:t>
      </w:r>
      <w:proofErr w:type="gramEnd"/>
      <w:r w:rsidR="00362AF3">
        <w:rPr>
          <w:rFonts w:ascii="Arial" w:hAnsi="Arial" w:cs="Arial"/>
        </w:rPr>
        <w:t xml:space="preserve">: </w:t>
      </w:r>
      <w:r w:rsidRPr="00362AF3">
        <w:rPr>
          <w:rFonts w:ascii="Arial" w:hAnsi="Arial" w:cs="Arial"/>
        </w:rPr>
        <w:t>299-316</w:t>
      </w:r>
      <w:r w:rsidR="00362AF3">
        <w:rPr>
          <w:rFonts w:ascii="Arial" w:hAnsi="Arial" w:cs="Arial"/>
        </w:rPr>
        <w:t>.</w:t>
      </w:r>
      <w:r w:rsidRPr="00362AF3">
        <w:rPr>
          <w:rFonts w:ascii="Arial" w:hAnsi="Arial" w:cs="Arial"/>
        </w:rPr>
        <w:t xml:space="preserve"> </w:t>
      </w:r>
    </w:p>
    <w:p w14:paraId="202E0ED6" w14:textId="77777777" w:rsidR="00362AF3" w:rsidRPr="00F971EE" w:rsidRDefault="00362AF3" w:rsidP="00362AF3">
      <w:pPr>
        <w:spacing w:line="240" w:lineRule="auto"/>
        <w:contextualSpacing/>
        <w:jc w:val="both"/>
        <w:rPr>
          <w:rFonts w:ascii="Arial" w:hAnsi="Arial" w:cs="Arial"/>
        </w:rPr>
      </w:pPr>
    </w:p>
    <w:p w14:paraId="33AB1FB9" w14:textId="46ECD585" w:rsidR="002F0612" w:rsidRPr="00362AF3" w:rsidRDefault="002F0612" w:rsidP="00F971EE">
      <w:pPr>
        <w:jc w:val="both"/>
        <w:rPr>
          <w:rFonts w:ascii="Arial" w:hAnsi="Arial" w:cs="Arial"/>
          <w:color w:val="FF0000"/>
        </w:rPr>
      </w:pPr>
      <w:r w:rsidRPr="00362AF3">
        <w:rPr>
          <w:rFonts w:ascii="Arial" w:hAnsi="Arial" w:cs="Arial"/>
          <w:color w:val="FF0000"/>
        </w:rPr>
        <w:t xml:space="preserve">Meijer et al., 2015, </w:t>
      </w:r>
    </w:p>
    <w:p w14:paraId="121F8884" w14:textId="64029DAA" w:rsidR="00C50545" w:rsidRPr="00F971EE" w:rsidRDefault="00C50545" w:rsidP="00F971EE">
      <w:pPr>
        <w:jc w:val="both"/>
        <w:rPr>
          <w:rFonts w:ascii="Arial" w:hAnsi="Arial" w:cs="Arial"/>
        </w:rPr>
      </w:pPr>
      <w:proofErr w:type="spellStart"/>
      <w:r w:rsidRPr="00F971EE">
        <w:rPr>
          <w:rFonts w:ascii="Arial" w:hAnsi="Arial" w:cs="Arial"/>
        </w:rPr>
        <w:t>Melesse</w:t>
      </w:r>
      <w:proofErr w:type="spellEnd"/>
      <w:r w:rsidRPr="00F971EE">
        <w:rPr>
          <w:rFonts w:ascii="Arial" w:hAnsi="Arial" w:cs="Arial"/>
        </w:rPr>
        <w:t xml:space="preserve">, B. (2018). A review on factors affecting adoption of agricultural new technologies in Ethiopia. </w:t>
      </w:r>
      <w:r w:rsidRPr="00F971EE">
        <w:rPr>
          <w:rFonts w:ascii="Arial" w:hAnsi="Arial" w:cs="Arial"/>
          <w:i/>
        </w:rPr>
        <w:t>Journal of Agricultural Science and Food Research, 9</w:t>
      </w:r>
      <w:r w:rsidR="002F0612" w:rsidRPr="00F971EE">
        <w:rPr>
          <w:rFonts w:ascii="Arial" w:hAnsi="Arial" w:cs="Arial"/>
          <w:i/>
        </w:rPr>
        <w:t xml:space="preserve"> </w:t>
      </w:r>
      <w:r w:rsidRPr="00F971EE">
        <w:rPr>
          <w:rFonts w:ascii="Arial" w:hAnsi="Arial" w:cs="Arial"/>
        </w:rPr>
        <w:t>(3)</w:t>
      </w:r>
      <w:r w:rsidR="002F0612" w:rsidRPr="00F971EE">
        <w:rPr>
          <w:rFonts w:ascii="Arial" w:hAnsi="Arial" w:cs="Arial"/>
        </w:rPr>
        <w:t>:</w:t>
      </w:r>
      <w:r w:rsidRPr="00F971EE">
        <w:rPr>
          <w:rFonts w:ascii="Arial" w:hAnsi="Arial" w:cs="Arial"/>
        </w:rPr>
        <w:t xml:space="preserve"> 1-4.</w:t>
      </w:r>
    </w:p>
    <w:p w14:paraId="2800772C" w14:textId="760EDD1D" w:rsidR="008A1A08" w:rsidRPr="00F971EE" w:rsidRDefault="008A1A08" w:rsidP="00F971EE">
      <w:pPr>
        <w:jc w:val="both"/>
        <w:rPr>
          <w:rFonts w:ascii="Arial" w:hAnsi="Arial" w:cs="Arial"/>
        </w:rPr>
      </w:pPr>
      <w:proofErr w:type="spellStart"/>
      <w:r w:rsidRPr="00F971EE">
        <w:rPr>
          <w:rFonts w:ascii="Arial" w:hAnsi="Arial" w:cs="Arial"/>
        </w:rPr>
        <w:t>Monyo</w:t>
      </w:r>
      <w:proofErr w:type="spellEnd"/>
      <w:r w:rsidR="008B4AF1" w:rsidRPr="00F971EE">
        <w:rPr>
          <w:rFonts w:ascii="Arial" w:hAnsi="Arial" w:cs="Arial"/>
        </w:rPr>
        <w:t>,</w:t>
      </w:r>
      <w:r w:rsidRPr="00F971EE">
        <w:rPr>
          <w:rFonts w:ascii="Arial" w:hAnsi="Arial" w:cs="Arial"/>
        </w:rPr>
        <w:t xml:space="preserve"> E</w:t>
      </w:r>
      <w:r w:rsidR="008B4AF1" w:rsidRPr="00F971EE">
        <w:rPr>
          <w:rFonts w:ascii="Arial" w:hAnsi="Arial" w:cs="Arial"/>
        </w:rPr>
        <w:t>.</w:t>
      </w:r>
      <w:r w:rsidRPr="00F971EE">
        <w:rPr>
          <w:rFonts w:ascii="Arial" w:hAnsi="Arial" w:cs="Arial"/>
        </w:rPr>
        <w:t>S</w:t>
      </w:r>
      <w:r w:rsidR="008B4AF1" w:rsidRPr="00F971EE">
        <w:rPr>
          <w:rFonts w:ascii="Arial" w:hAnsi="Arial" w:cs="Arial"/>
        </w:rPr>
        <w:t>.</w:t>
      </w:r>
      <w:r w:rsidRPr="00F971EE">
        <w:rPr>
          <w:rFonts w:ascii="Arial" w:hAnsi="Arial" w:cs="Arial"/>
        </w:rPr>
        <w:t xml:space="preserve"> and Varshney</w:t>
      </w:r>
      <w:r w:rsidR="008B4AF1" w:rsidRPr="00F971EE">
        <w:rPr>
          <w:rFonts w:ascii="Arial" w:hAnsi="Arial" w:cs="Arial"/>
        </w:rPr>
        <w:t>,</w:t>
      </w:r>
      <w:r w:rsidRPr="00F971EE">
        <w:rPr>
          <w:rFonts w:ascii="Arial" w:hAnsi="Arial" w:cs="Arial"/>
        </w:rPr>
        <w:t xml:space="preserve"> R</w:t>
      </w:r>
      <w:r w:rsidR="008B4AF1" w:rsidRPr="00F971EE">
        <w:rPr>
          <w:rFonts w:ascii="Arial" w:hAnsi="Arial" w:cs="Arial"/>
        </w:rPr>
        <w:t>.</w:t>
      </w:r>
      <w:r w:rsidRPr="00F971EE">
        <w:rPr>
          <w:rFonts w:ascii="Arial" w:hAnsi="Arial" w:cs="Arial"/>
        </w:rPr>
        <w:t>K</w:t>
      </w:r>
      <w:r w:rsidR="008B4AF1" w:rsidRPr="00F971EE">
        <w:rPr>
          <w:rFonts w:ascii="Arial" w:hAnsi="Arial" w:cs="Arial"/>
        </w:rPr>
        <w:t>.</w:t>
      </w:r>
      <w:r w:rsidRPr="00F971EE">
        <w:rPr>
          <w:rFonts w:ascii="Arial" w:hAnsi="Arial" w:cs="Arial"/>
        </w:rPr>
        <w:t xml:space="preserve"> </w:t>
      </w:r>
      <w:r w:rsidR="008B4AF1" w:rsidRPr="00F971EE">
        <w:rPr>
          <w:rFonts w:ascii="Arial" w:hAnsi="Arial" w:cs="Arial"/>
        </w:rPr>
        <w:t>(</w:t>
      </w:r>
      <w:r w:rsidRPr="00F971EE">
        <w:rPr>
          <w:rFonts w:ascii="Arial" w:hAnsi="Arial" w:cs="Arial"/>
        </w:rPr>
        <w:t>eds</w:t>
      </w:r>
      <w:r w:rsidR="008B4AF1" w:rsidRPr="00F971EE">
        <w:rPr>
          <w:rFonts w:ascii="Arial" w:hAnsi="Arial" w:cs="Arial"/>
        </w:rPr>
        <w:t>)</w:t>
      </w:r>
      <w:r w:rsidRPr="00F971EE">
        <w:rPr>
          <w:rFonts w:ascii="Arial" w:hAnsi="Arial" w:cs="Arial"/>
        </w:rPr>
        <w:t xml:space="preserve">. </w:t>
      </w:r>
      <w:r w:rsidR="008B4AF1" w:rsidRPr="00F971EE">
        <w:rPr>
          <w:rFonts w:ascii="Arial" w:hAnsi="Arial" w:cs="Arial"/>
        </w:rPr>
        <w:t>(</w:t>
      </w:r>
      <w:r w:rsidRPr="00F971EE">
        <w:rPr>
          <w:rFonts w:ascii="Arial" w:hAnsi="Arial" w:cs="Arial"/>
        </w:rPr>
        <w:t>2016</w:t>
      </w:r>
      <w:r w:rsidR="008B4AF1" w:rsidRPr="00F971EE">
        <w:rPr>
          <w:rFonts w:ascii="Arial" w:hAnsi="Arial" w:cs="Arial"/>
        </w:rPr>
        <w:t>)</w:t>
      </w:r>
      <w:r w:rsidRPr="00F971EE">
        <w:rPr>
          <w:rFonts w:ascii="Arial" w:hAnsi="Arial" w:cs="Arial"/>
        </w:rPr>
        <w:t xml:space="preserve">. Seven seasons of learning and engaging smallholder farmers in the drought-prone areas of sub-Saharan Africa and South Asia through Tropical Legumes, 2007–2014. </w:t>
      </w:r>
      <w:proofErr w:type="spellStart"/>
      <w:r w:rsidRPr="00F971EE">
        <w:rPr>
          <w:rFonts w:ascii="Arial" w:hAnsi="Arial" w:cs="Arial"/>
        </w:rPr>
        <w:t>Patancheru</w:t>
      </w:r>
      <w:proofErr w:type="spellEnd"/>
      <w:r w:rsidRPr="00F971EE">
        <w:rPr>
          <w:rFonts w:ascii="Arial" w:hAnsi="Arial" w:cs="Arial"/>
        </w:rPr>
        <w:t xml:space="preserve"> 502 324, Telangana, India: International Crops Research Institute for the Semi-Arid Tropics.</w:t>
      </w:r>
    </w:p>
    <w:p w14:paraId="5A28510A" w14:textId="187EDC53" w:rsidR="002A255D" w:rsidRPr="00F971EE" w:rsidRDefault="002A255D" w:rsidP="00F971EE">
      <w:pPr>
        <w:jc w:val="both"/>
        <w:rPr>
          <w:rFonts w:ascii="Arial" w:hAnsi="Arial" w:cs="Arial"/>
        </w:rPr>
      </w:pPr>
      <w:r w:rsidRPr="00F971EE">
        <w:rPr>
          <w:rFonts w:ascii="Arial" w:hAnsi="Arial" w:cs="Arial"/>
        </w:rPr>
        <w:t xml:space="preserve">Orr, A., Cox, C.M., Ru, Y. and Ashby, J. (2018). Gender and social targeting in plant breeding. Lima (Peru). CGIAR Gender and Breeding Initiative. GBI Working Paper. No. 1.  </w:t>
      </w:r>
      <w:hyperlink r:id="rId19" w:history="1">
        <w:r w:rsidRPr="00F971EE">
          <w:rPr>
            <w:rStyle w:val="Hyperlink"/>
            <w:rFonts w:ascii="Arial" w:hAnsi="Arial" w:cs="Arial"/>
          </w:rPr>
          <w:t>www.rtb.cgiar.org/gender-breeding-initiative</w:t>
        </w:r>
      </w:hyperlink>
    </w:p>
    <w:p w14:paraId="40BAB720" w14:textId="3D29D0CD" w:rsidR="00C50545" w:rsidRPr="00F971EE" w:rsidRDefault="00C50545" w:rsidP="00F971EE">
      <w:pPr>
        <w:jc w:val="both"/>
        <w:rPr>
          <w:rFonts w:ascii="Arial" w:hAnsi="Arial" w:cs="Arial"/>
        </w:rPr>
      </w:pPr>
      <w:r w:rsidRPr="00F971EE">
        <w:rPr>
          <w:rFonts w:ascii="Arial" w:hAnsi="Arial" w:cs="Arial"/>
        </w:rPr>
        <w:t xml:space="preserve">Orr, A. (2018). Markets, institutions and policies: A perspective on the adoption of agricultural innovations. </w:t>
      </w:r>
      <w:r w:rsidRPr="00F971EE">
        <w:rPr>
          <w:rFonts w:ascii="Arial" w:hAnsi="Arial" w:cs="Arial"/>
          <w:i/>
        </w:rPr>
        <w:t>Outlook on Agriculture, 20</w:t>
      </w:r>
      <w:r w:rsidR="002F0612" w:rsidRPr="00F971EE">
        <w:rPr>
          <w:rFonts w:ascii="Arial" w:hAnsi="Arial" w:cs="Arial"/>
          <w:i/>
        </w:rPr>
        <w:t xml:space="preserve"> </w:t>
      </w:r>
      <w:r w:rsidRPr="00F971EE">
        <w:rPr>
          <w:rFonts w:ascii="Arial" w:hAnsi="Arial" w:cs="Arial"/>
        </w:rPr>
        <w:t>(10)</w:t>
      </w:r>
      <w:r w:rsidR="002F0612" w:rsidRPr="00F971EE">
        <w:rPr>
          <w:rFonts w:ascii="Arial" w:hAnsi="Arial" w:cs="Arial"/>
        </w:rPr>
        <w:t>:</w:t>
      </w:r>
      <w:r w:rsidRPr="00F971EE">
        <w:rPr>
          <w:rFonts w:ascii="Arial" w:hAnsi="Arial" w:cs="Arial"/>
        </w:rPr>
        <w:t xml:space="preserve"> 1-6. </w:t>
      </w:r>
    </w:p>
    <w:p w14:paraId="42DCF288" w14:textId="77777777" w:rsidR="0071461D" w:rsidRPr="00F971EE" w:rsidRDefault="0071461D" w:rsidP="00F971EE">
      <w:pPr>
        <w:jc w:val="both"/>
        <w:rPr>
          <w:rFonts w:ascii="Arial" w:hAnsi="Arial" w:cs="Arial"/>
        </w:rPr>
      </w:pPr>
      <w:r w:rsidRPr="00F971EE">
        <w:rPr>
          <w:rFonts w:ascii="Arial" w:hAnsi="Arial" w:cs="Arial"/>
        </w:rPr>
        <w:lastRenderedPageBreak/>
        <w:t xml:space="preserve">Ricker-Gilbert, J., Norton, G. W., </w:t>
      </w:r>
      <w:proofErr w:type="spellStart"/>
      <w:r w:rsidRPr="00F971EE">
        <w:rPr>
          <w:rFonts w:ascii="Arial" w:hAnsi="Arial" w:cs="Arial"/>
        </w:rPr>
        <w:t>Alwang</w:t>
      </w:r>
      <w:proofErr w:type="spellEnd"/>
      <w:r w:rsidRPr="00F971EE">
        <w:rPr>
          <w:rFonts w:ascii="Arial" w:hAnsi="Arial" w:cs="Arial"/>
        </w:rPr>
        <w:t xml:space="preserve">, J., Miah, M., and Feder, G. (2007). Cost-Effectiveness of Alternative Integrated Pest Management Extension Methods: An Example from Bangladesh, </w:t>
      </w:r>
      <w:r w:rsidRPr="00F971EE">
        <w:rPr>
          <w:rFonts w:ascii="Arial" w:hAnsi="Arial" w:cs="Arial"/>
          <w:i/>
          <w:iCs/>
        </w:rPr>
        <w:t>Review of Agricultural Economics</w:t>
      </w:r>
      <w:r w:rsidRPr="00F971EE">
        <w:rPr>
          <w:rFonts w:ascii="Arial" w:hAnsi="Arial" w:cs="Arial"/>
        </w:rPr>
        <w:t xml:space="preserve"> 30(2): 252–269.</w:t>
      </w:r>
    </w:p>
    <w:p w14:paraId="4C3DD845" w14:textId="77777777" w:rsidR="00E5367F" w:rsidRPr="00362AF3" w:rsidRDefault="00E5367F" w:rsidP="00F971EE">
      <w:pPr>
        <w:jc w:val="both"/>
        <w:rPr>
          <w:rFonts w:ascii="Arial" w:hAnsi="Arial" w:cs="Arial"/>
          <w:color w:val="FF0000"/>
        </w:rPr>
      </w:pPr>
      <w:proofErr w:type="spellStart"/>
      <w:r w:rsidRPr="00362AF3">
        <w:rPr>
          <w:rFonts w:ascii="Arial" w:hAnsi="Arial" w:cs="Arial"/>
          <w:color w:val="FF0000"/>
        </w:rPr>
        <w:t>Sunding</w:t>
      </w:r>
      <w:proofErr w:type="spellEnd"/>
      <w:r w:rsidRPr="00362AF3">
        <w:rPr>
          <w:rFonts w:ascii="Arial" w:hAnsi="Arial" w:cs="Arial"/>
          <w:color w:val="FF0000"/>
        </w:rPr>
        <w:t xml:space="preserve"> and Zilberman, 2001; </w:t>
      </w:r>
    </w:p>
    <w:p w14:paraId="31512519" w14:textId="77777777" w:rsidR="0071461D" w:rsidRPr="00F971EE" w:rsidRDefault="0071461D" w:rsidP="00F971EE">
      <w:pPr>
        <w:jc w:val="both"/>
        <w:rPr>
          <w:rFonts w:ascii="Arial" w:hAnsi="Arial" w:cs="Arial"/>
        </w:rPr>
      </w:pPr>
      <w:r w:rsidRPr="00F971EE">
        <w:rPr>
          <w:rFonts w:ascii="Arial" w:hAnsi="Arial" w:cs="Arial"/>
        </w:rPr>
        <w:t>Syngenta Foundation (2019). Seeds2Be. (</w:t>
      </w:r>
      <w:hyperlink r:id="rId20" w:history="1">
        <w:r w:rsidRPr="00F971EE">
          <w:rPr>
            <w:rStyle w:val="Hyperlink"/>
            <w:rFonts w:ascii="Arial" w:hAnsi="Arial" w:cs="Arial"/>
            <w:color w:val="auto"/>
          </w:rPr>
          <w:t>https://www.syngentafoundation.org/seeds2b</w:t>
        </w:r>
      </w:hyperlink>
      <w:r w:rsidRPr="00F971EE">
        <w:rPr>
          <w:rFonts w:ascii="Arial" w:hAnsi="Arial" w:cs="Arial"/>
        </w:rPr>
        <w:t>). Accessed 23 October 2019.</w:t>
      </w:r>
    </w:p>
    <w:p w14:paraId="57F74BA1" w14:textId="0277B4C4" w:rsidR="00EB11C6" w:rsidRPr="00F971EE" w:rsidRDefault="00EB11C6" w:rsidP="00F971EE">
      <w:pPr>
        <w:jc w:val="both"/>
        <w:rPr>
          <w:rFonts w:ascii="Arial" w:hAnsi="Arial" w:cs="Arial"/>
        </w:rPr>
      </w:pPr>
      <w:r w:rsidRPr="00F971EE">
        <w:rPr>
          <w:rFonts w:ascii="Arial" w:hAnsi="Arial" w:cs="Arial"/>
        </w:rPr>
        <w:t xml:space="preserve">Rohrbach, D. D., </w:t>
      </w:r>
      <w:proofErr w:type="spellStart"/>
      <w:r w:rsidRPr="00F971EE">
        <w:rPr>
          <w:rFonts w:ascii="Arial" w:hAnsi="Arial" w:cs="Arial"/>
        </w:rPr>
        <w:t>Minde</w:t>
      </w:r>
      <w:proofErr w:type="spellEnd"/>
      <w:r w:rsidRPr="00F971EE">
        <w:rPr>
          <w:rFonts w:ascii="Arial" w:hAnsi="Arial" w:cs="Arial"/>
        </w:rPr>
        <w:t xml:space="preserve">, I. J., and Howard, J. (2003). </w:t>
      </w:r>
      <w:r w:rsidRPr="00F971EE">
        <w:rPr>
          <w:rStyle w:val="title-text"/>
          <w:rFonts w:ascii="Arial" w:hAnsi="Arial" w:cs="Arial"/>
        </w:rPr>
        <w:t xml:space="preserve">Looking beyond national boundaries: regional harmonization of seed policies, laws and regulations, </w:t>
      </w:r>
      <w:hyperlink r:id="rId21" w:tooltip="Go to Food Policy on ScienceDirect" w:history="1">
        <w:r w:rsidRPr="00F971EE">
          <w:rPr>
            <w:rStyle w:val="Hyperlink"/>
            <w:rFonts w:ascii="Arial" w:hAnsi="Arial" w:cs="Arial"/>
            <w:i/>
            <w:iCs/>
            <w:color w:val="auto"/>
            <w:u w:val="none"/>
          </w:rPr>
          <w:t>Food Policy</w:t>
        </w:r>
      </w:hyperlink>
      <w:r w:rsidRPr="00F971EE">
        <w:rPr>
          <w:rFonts w:ascii="Arial" w:hAnsi="Arial" w:cs="Arial"/>
        </w:rPr>
        <w:t>, 28 (3): 317-333.</w:t>
      </w:r>
    </w:p>
    <w:p w14:paraId="0F04A864" w14:textId="24A835BE" w:rsidR="00CF7AC2" w:rsidRPr="00F971EE" w:rsidRDefault="00CF7AC2" w:rsidP="00F971EE">
      <w:pPr>
        <w:jc w:val="both"/>
        <w:rPr>
          <w:rFonts w:ascii="Arial" w:hAnsi="Arial" w:cs="Arial"/>
        </w:rPr>
      </w:pPr>
      <w:r w:rsidRPr="00F971EE">
        <w:rPr>
          <w:rFonts w:ascii="Arial" w:hAnsi="Arial" w:cs="Arial"/>
        </w:rPr>
        <w:t xml:space="preserve">Roots and Tubers Research Program (2019). Gender and Plant Breeding Initiative. </w:t>
      </w:r>
      <w:hyperlink r:id="rId22" w:history="1">
        <w:r w:rsidRPr="00F971EE">
          <w:rPr>
            <w:rStyle w:val="Hyperlink"/>
            <w:rFonts w:ascii="Arial" w:hAnsi="Arial" w:cs="Arial"/>
          </w:rPr>
          <w:t>http://www.rtb.cgiar.org/gender-breeding-initiative/</w:t>
        </w:r>
      </w:hyperlink>
      <w:r w:rsidRPr="00F971EE">
        <w:rPr>
          <w:rFonts w:ascii="Arial" w:hAnsi="Arial" w:cs="Arial"/>
        </w:rPr>
        <w:t xml:space="preserve">. Accessed 23 </w:t>
      </w:r>
      <w:proofErr w:type="gramStart"/>
      <w:r w:rsidRPr="00F971EE">
        <w:rPr>
          <w:rFonts w:ascii="Arial" w:hAnsi="Arial" w:cs="Arial"/>
        </w:rPr>
        <w:t>October,</w:t>
      </w:r>
      <w:proofErr w:type="gramEnd"/>
      <w:r w:rsidRPr="00F971EE">
        <w:rPr>
          <w:rFonts w:ascii="Arial" w:hAnsi="Arial" w:cs="Arial"/>
        </w:rPr>
        <w:t xml:space="preserve"> 2019.</w:t>
      </w:r>
    </w:p>
    <w:p w14:paraId="7CAE5477" w14:textId="77777777" w:rsidR="00191FBD" w:rsidRPr="00F971EE" w:rsidRDefault="00EE3056" w:rsidP="00F971EE">
      <w:pPr>
        <w:jc w:val="both"/>
        <w:rPr>
          <w:rFonts w:ascii="Arial" w:hAnsi="Arial" w:cs="Arial"/>
        </w:rPr>
      </w:pPr>
      <w:proofErr w:type="spellStart"/>
      <w:r w:rsidRPr="00F971EE">
        <w:rPr>
          <w:rFonts w:ascii="Arial" w:hAnsi="Arial" w:cs="Arial"/>
        </w:rPr>
        <w:t>Rubyogo</w:t>
      </w:r>
      <w:proofErr w:type="spellEnd"/>
      <w:r w:rsidRPr="00F971EE">
        <w:rPr>
          <w:rFonts w:ascii="Arial" w:hAnsi="Arial" w:cs="Arial"/>
        </w:rPr>
        <w:t xml:space="preserve">, J-C., </w:t>
      </w:r>
      <w:proofErr w:type="spellStart"/>
      <w:r w:rsidRPr="00F971EE">
        <w:rPr>
          <w:rFonts w:ascii="Arial" w:hAnsi="Arial" w:cs="Arial"/>
        </w:rPr>
        <w:t>Akpo</w:t>
      </w:r>
      <w:proofErr w:type="spellEnd"/>
      <w:r w:rsidRPr="00F971EE">
        <w:rPr>
          <w:rFonts w:ascii="Arial" w:hAnsi="Arial" w:cs="Arial"/>
        </w:rPr>
        <w:t xml:space="preserve">, E., </w:t>
      </w:r>
      <w:proofErr w:type="spellStart"/>
      <w:r w:rsidRPr="00F971EE">
        <w:rPr>
          <w:rFonts w:ascii="Arial" w:hAnsi="Arial" w:cs="Arial"/>
        </w:rPr>
        <w:t>Omoigui</w:t>
      </w:r>
      <w:proofErr w:type="spellEnd"/>
      <w:r w:rsidRPr="00F971EE">
        <w:rPr>
          <w:rFonts w:ascii="Arial" w:hAnsi="Arial" w:cs="Arial"/>
        </w:rPr>
        <w:t xml:space="preserve">, L., et. al. (2019). Market-led options to scale up legume seeds in developing countries: Experiences from the Tropical Legumes Project, </w:t>
      </w:r>
      <w:r w:rsidRPr="00F971EE">
        <w:rPr>
          <w:rFonts w:ascii="Arial" w:hAnsi="Arial" w:cs="Arial"/>
          <w:i/>
          <w:iCs/>
        </w:rPr>
        <w:t xml:space="preserve">Plant Breeding </w:t>
      </w:r>
      <w:r w:rsidRPr="00F971EE">
        <w:rPr>
          <w:rFonts w:ascii="Arial" w:hAnsi="Arial" w:cs="Arial"/>
        </w:rPr>
        <w:t>138: 474-486.</w:t>
      </w:r>
    </w:p>
    <w:p w14:paraId="4D51923F" w14:textId="70A59636" w:rsidR="007F2DF7" w:rsidRPr="00362AF3" w:rsidRDefault="007F2DF7" w:rsidP="00362AF3">
      <w:pPr>
        <w:spacing w:line="240" w:lineRule="auto"/>
        <w:contextualSpacing/>
        <w:jc w:val="both"/>
        <w:rPr>
          <w:rFonts w:ascii="Arial" w:hAnsi="Arial" w:cs="Arial"/>
        </w:rPr>
      </w:pPr>
      <w:r w:rsidRPr="00362AF3">
        <w:rPr>
          <w:rFonts w:ascii="Arial" w:hAnsi="Arial" w:cs="Arial"/>
        </w:rPr>
        <w:t xml:space="preserve">Shiferaw, </w:t>
      </w:r>
      <w:r w:rsidR="00362AF3" w:rsidRPr="00362AF3">
        <w:rPr>
          <w:rFonts w:ascii="Arial" w:hAnsi="Arial" w:cs="Arial"/>
        </w:rPr>
        <w:t xml:space="preserve">B., </w:t>
      </w:r>
      <w:r w:rsidRPr="00362AF3">
        <w:rPr>
          <w:rFonts w:ascii="Arial" w:hAnsi="Arial" w:cs="Arial"/>
        </w:rPr>
        <w:t>Kebede</w:t>
      </w:r>
      <w:r w:rsidR="00362AF3" w:rsidRPr="00362AF3">
        <w:rPr>
          <w:rFonts w:ascii="Arial" w:hAnsi="Arial" w:cs="Arial"/>
        </w:rPr>
        <w:t xml:space="preserve">, T., and </w:t>
      </w:r>
      <w:r w:rsidRPr="00362AF3">
        <w:rPr>
          <w:rFonts w:ascii="Arial" w:hAnsi="Arial" w:cs="Arial"/>
        </w:rPr>
        <w:t>You,</w:t>
      </w:r>
      <w:r w:rsidR="00362AF3" w:rsidRPr="00362AF3">
        <w:rPr>
          <w:rFonts w:ascii="Arial" w:hAnsi="Arial" w:cs="Arial"/>
        </w:rPr>
        <w:t xml:space="preserve"> L. (2008). </w:t>
      </w:r>
      <w:r w:rsidRPr="00362AF3">
        <w:rPr>
          <w:rFonts w:ascii="Arial" w:hAnsi="Arial" w:cs="Arial"/>
        </w:rPr>
        <w:t xml:space="preserve">Technology adoption under seed access constraints and the economic impacts of improved </w:t>
      </w:r>
      <w:proofErr w:type="spellStart"/>
      <w:r w:rsidRPr="00362AF3">
        <w:rPr>
          <w:rFonts w:ascii="Arial" w:hAnsi="Arial" w:cs="Arial"/>
        </w:rPr>
        <w:t>pigeonpea</w:t>
      </w:r>
      <w:proofErr w:type="spellEnd"/>
      <w:r w:rsidRPr="00362AF3">
        <w:rPr>
          <w:rFonts w:ascii="Arial" w:hAnsi="Arial" w:cs="Arial"/>
        </w:rPr>
        <w:t xml:space="preserve"> varieties in Tanzania, </w:t>
      </w:r>
      <w:r w:rsidRPr="00362AF3">
        <w:rPr>
          <w:rFonts w:ascii="Arial" w:hAnsi="Arial" w:cs="Arial"/>
          <w:i/>
          <w:iCs/>
        </w:rPr>
        <w:t>Agricultural Economics</w:t>
      </w:r>
      <w:r w:rsidRPr="00362AF3">
        <w:rPr>
          <w:rFonts w:ascii="Arial" w:hAnsi="Arial" w:cs="Arial"/>
        </w:rPr>
        <w:t>, 39</w:t>
      </w:r>
      <w:r w:rsidR="00362AF3" w:rsidRPr="00362AF3">
        <w:rPr>
          <w:rFonts w:ascii="Arial" w:hAnsi="Arial" w:cs="Arial"/>
        </w:rPr>
        <w:t xml:space="preserve"> (3): </w:t>
      </w:r>
      <w:r w:rsidRPr="00362AF3">
        <w:rPr>
          <w:rFonts w:ascii="Arial" w:hAnsi="Arial" w:cs="Arial"/>
        </w:rPr>
        <w:t>309-323</w:t>
      </w:r>
      <w:r w:rsidR="00362AF3" w:rsidRPr="00362AF3">
        <w:rPr>
          <w:rFonts w:ascii="Arial" w:hAnsi="Arial" w:cs="Arial"/>
        </w:rPr>
        <w:t>.</w:t>
      </w:r>
      <w:r w:rsidRPr="00362AF3">
        <w:rPr>
          <w:rFonts w:ascii="Arial" w:hAnsi="Arial" w:cs="Arial"/>
        </w:rPr>
        <w:t xml:space="preserve"> </w:t>
      </w:r>
    </w:p>
    <w:p w14:paraId="6C575778" w14:textId="2CD40922" w:rsidR="00EE3056" w:rsidRPr="00F971EE" w:rsidRDefault="00EE3056" w:rsidP="00F971EE">
      <w:pPr>
        <w:jc w:val="both"/>
        <w:rPr>
          <w:rFonts w:ascii="Arial" w:hAnsi="Arial" w:cs="Arial"/>
        </w:rPr>
      </w:pPr>
    </w:p>
    <w:p w14:paraId="2BF26C63" w14:textId="77777777" w:rsidR="00191FBD" w:rsidRPr="00362AF3" w:rsidRDefault="00191FBD" w:rsidP="00F971EE">
      <w:pPr>
        <w:jc w:val="both"/>
        <w:rPr>
          <w:rFonts w:ascii="Arial" w:hAnsi="Arial" w:cs="Arial"/>
          <w:color w:val="FF0000"/>
        </w:rPr>
      </w:pPr>
      <w:r w:rsidRPr="00362AF3">
        <w:rPr>
          <w:rFonts w:ascii="Arial" w:hAnsi="Arial" w:cs="Arial"/>
          <w:color w:val="FF0000"/>
        </w:rPr>
        <w:fldChar w:fldCharType="begin" w:fldLock="1"/>
      </w:r>
      <w:r w:rsidRPr="00362AF3">
        <w:rPr>
          <w:rFonts w:ascii="Arial" w:hAnsi="Arial" w:cs="Arial"/>
          <w:color w:val="FF0000"/>
        </w:rPr>
        <w:instrText>ADDIN CSL_CITATION { "citationItems" : [ { "id" : "ITEM-1", "itemData" : { "DOI" : "10.1038/ctg.2013.13", "ISBN" : "2155-384X (Electronic)", "ISSN" : "2155-384X", "PMID" : "24384867", "abstract" : "Although efficacy and effectiveness studies are both important when evaluating interventions, they serve distinct purposes and have different study designs. Unfortunately, the distinction between these two types of trials is often poorly understood. In this primer, we highlight several differences between these two types of trials including study design, patient populations, intervention design, data analysis, and result reporting.", "author" : [ { "dropping-particle" : "", "family" : "Singal", "given" : "Amit G", "non-dropping-particle" : "", "parse-names" : false, "suffix" : "" }, { "dropping-particle" : "", "family" : "Higgins", "given" : "Peter D R", "non-dropping-particle" : "", "parse-names" : false, "suffix" : "" }, { "dropping-particle" : "", "family" : "Waljee", "given" : "Akbar K", "non-dropping-particle" : "", "parse-names" : false, "suffix" : "" } ], "container-title" : "Clinical and translational gastroenterology", "id" : "ITEM-1", "issue" : "2", "issued" : { "date-parts" : [ [ "2014" ] ] }, "page" : "e45", "publisher" : "Nature Publishing Group", "title" : "A primer on effectiveness and efficacy trials.", "type" : "article-journal", "volume" : "5" }, "uris" : [ "http://www.mendeley.com/documents/?uuid=054145a8-4a34-4362-9314-74dc51ab81a6" ] } ], "mendeley" : { "formattedCitation" : "(Singal, Higgins, &amp; Waljee, 2014)", "plainTextFormattedCitation" : "(Singal, Higgins, &amp; Waljee, 2014)", "previouslyFormattedCitation" : "(Singal, Higgins, &amp; Waljee, 2014)" }, "properties" : { "noteIndex" : 0 }, "schema" : "https://github.com/citation-style-language/schema/raw/master/csl-citation.json" }</w:instrText>
      </w:r>
      <w:r w:rsidRPr="00362AF3">
        <w:rPr>
          <w:rFonts w:ascii="Arial" w:hAnsi="Arial" w:cs="Arial"/>
          <w:color w:val="FF0000"/>
        </w:rPr>
        <w:fldChar w:fldCharType="separate"/>
      </w:r>
      <w:r w:rsidRPr="00362AF3">
        <w:rPr>
          <w:rFonts w:ascii="Arial" w:hAnsi="Arial" w:cs="Arial"/>
          <w:noProof/>
          <w:color w:val="FF0000"/>
        </w:rPr>
        <w:t>(Singal, Higgins, &amp; Waljee, 2014)</w:t>
      </w:r>
      <w:r w:rsidRPr="00362AF3">
        <w:rPr>
          <w:rFonts w:ascii="Arial" w:hAnsi="Arial" w:cs="Arial"/>
          <w:color w:val="FF0000"/>
        </w:rPr>
        <w:fldChar w:fldCharType="end"/>
      </w:r>
    </w:p>
    <w:p w14:paraId="4FE1FEA2" w14:textId="77777777" w:rsidR="00191FBD" w:rsidRPr="00F971EE" w:rsidRDefault="00191FBD" w:rsidP="00F971EE">
      <w:pPr>
        <w:jc w:val="both"/>
        <w:rPr>
          <w:rFonts w:ascii="Arial" w:hAnsi="Arial" w:cs="Arial"/>
        </w:rPr>
      </w:pPr>
    </w:p>
    <w:p w14:paraId="0E6D866C" w14:textId="7E4FA10A" w:rsidR="00362094" w:rsidRPr="00F971EE" w:rsidRDefault="00362094" w:rsidP="00F971EE">
      <w:pPr>
        <w:jc w:val="both"/>
        <w:rPr>
          <w:rFonts w:ascii="Arial" w:hAnsi="Arial" w:cs="Arial"/>
        </w:rPr>
      </w:pPr>
      <w:r w:rsidRPr="00F971EE">
        <w:rPr>
          <w:rFonts w:ascii="Arial" w:hAnsi="Arial" w:cs="Arial"/>
        </w:rPr>
        <w:t xml:space="preserve">Springer-Heinze, A. (2017). </w:t>
      </w:r>
      <w:proofErr w:type="spellStart"/>
      <w:r w:rsidRPr="00F971EE">
        <w:rPr>
          <w:rFonts w:ascii="Arial" w:hAnsi="Arial" w:cs="Arial"/>
        </w:rPr>
        <w:t>ValueLinks</w:t>
      </w:r>
      <w:proofErr w:type="spellEnd"/>
      <w:r w:rsidRPr="00F971EE">
        <w:rPr>
          <w:rFonts w:ascii="Arial" w:hAnsi="Arial" w:cs="Arial"/>
        </w:rPr>
        <w:t xml:space="preserve"> 2.0 Manual on Sustainable Value Chain Development, Vol. 1. Value Chain Analysis, Strategy and Implementation. July. Deutsche Gesellschaft fur Internationale </w:t>
      </w:r>
      <w:proofErr w:type="spellStart"/>
      <w:r w:rsidRPr="00F971EE">
        <w:rPr>
          <w:rFonts w:ascii="Arial" w:hAnsi="Arial" w:cs="Arial"/>
        </w:rPr>
        <w:t>Zusamammenarbeit</w:t>
      </w:r>
      <w:proofErr w:type="spellEnd"/>
      <w:r w:rsidRPr="00F971EE">
        <w:rPr>
          <w:rFonts w:ascii="Arial" w:hAnsi="Arial" w:cs="Arial"/>
        </w:rPr>
        <w:t xml:space="preserve"> (GIZ). </w:t>
      </w:r>
    </w:p>
    <w:p w14:paraId="30683071" w14:textId="0EE2938E" w:rsidR="00362094" w:rsidRPr="00F971EE" w:rsidRDefault="005A2577" w:rsidP="00F971EE">
      <w:pPr>
        <w:jc w:val="both"/>
        <w:rPr>
          <w:rStyle w:val="Hyperlink"/>
          <w:rFonts w:ascii="Arial" w:hAnsi="Arial" w:cs="Arial"/>
        </w:rPr>
      </w:pPr>
      <w:hyperlink r:id="rId23" w:history="1">
        <w:r w:rsidR="00362094" w:rsidRPr="00F971EE">
          <w:rPr>
            <w:rStyle w:val="Hyperlink"/>
            <w:rFonts w:ascii="Arial" w:hAnsi="Arial" w:cs="Arial"/>
          </w:rPr>
          <w:t>http://valuelinks.org/wp-content/uploads/2015/09/ValueLinks-Manual-2.0-Vol-1-final-draft-July-2017.pdf</w:t>
        </w:r>
      </w:hyperlink>
    </w:p>
    <w:p w14:paraId="24AE5624" w14:textId="77777777" w:rsidR="00E5367F" w:rsidRPr="00362AF3" w:rsidRDefault="00E5367F" w:rsidP="00F971EE">
      <w:pPr>
        <w:jc w:val="both"/>
        <w:rPr>
          <w:rFonts w:ascii="Arial" w:hAnsi="Arial" w:cs="Arial"/>
          <w:color w:val="FF0000"/>
        </w:rPr>
      </w:pPr>
      <w:r w:rsidRPr="00362AF3">
        <w:rPr>
          <w:rFonts w:ascii="Arial" w:hAnsi="Arial" w:cs="Arial"/>
          <w:color w:val="FF0000"/>
        </w:rPr>
        <w:t xml:space="preserve">Stevenson and </w:t>
      </w:r>
      <w:proofErr w:type="spellStart"/>
      <w:r w:rsidRPr="00362AF3">
        <w:rPr>
          <w:rFonts w:ascii="Arial" w:hAnsi="Arial" w:cs="Arial"/>
          <w:color w:val="FF0000"/>
        </w:rPr>
        <w:t>Vlek</w:t>
      </w:r>
      <w:proofErr w:type="spellEnd"/>
      <w:r w:rsidRPr="00362AF3">
        <w:rPr>
          <w:rFonts w:ascii="Arial" w:hAnsi="Arial" w:cs="Arial"/>
          <w:color w:val="FF0000"/>
        </w:rPr>
        <w:t xml:space="preserve"> 2018).</w:t>
      </w:r>
    </w:p>
    <w:p w14:paraId="7C7D39A2" w14:textId="54A0204C" w:rsidR="0040253C" w:rsidRPr="00362AF3" w:rsidRDefault="0040253C" w:rsidP="00362AF3">
      <w:pPr>
        <w:spacing w:line="240" w:lineRule="auto"/>
        <w:contextualSpacing/>
        <w:jc w:val="both"/>
        <w:rPr>
          <w:rFonts w:ascii="Arial" w:hAnsi="Arial" w:cs="Arial"/>
        </w:rPr>
      </w:pPr>
      <w:proofErr w:type="spellStart"/>
      <w:r w:rsidRPr="00362AF3">
        <w:rPr>
          <w:rFonts w:ascii="Arial" w:hAnsi="Arial" w:cs="Arial"/>
        </w:rPr>
        <w:t>Sunding</w:t>
      </w:r>
      <w:proofErr w:type="spellEnd"/>
      <w:r w:rsidRPr="00362AF3">
        <w:rPr>
          <w:rFonts w:ascii="Arial" w:hAnsi="Arial" w:cs="Arial"/>
        </w:rPr>
        <w:t>, D</w:t>
      </w:r>
      <w:r w:rsidR="00362AF3">
        <w:rPr>
          <w:rFonts w:ascii="Arial" w:hAnsi="Arial" w:cs="Arial"/>
        </w:rPr>
        <w:t xml:space="preserve">. </w:t>
      </w:r>
      <w:r w:rsidRPr="00362AF3">
        <w:rPr>
          <w:rFonts w:ascii="Arial" w:hAnsi="Arial" w:cs="Arial"/>
        </w:rPr>
        <w:t>and Zilberman,</w:t>
      </w:r>
      <w:r w:rsidR="00362AF3">
        <w:rPr>
          <w:rFonts w:ascii="Arial" w:hAnsi="Arial" w:cs="Arial"/>
        </w:rPr>
        <w:t xml:space="preserve"> D. (2001).</w:t>
      </w:r>
      <w:r w:rsidRPr="00362AF3">
        <w:rPr>
          <w:rFonts w:ascii="Arial" w:hAnsi="Arial" w:cs="Arial"/>
        </w:rPr>
        <w:t xml:space="preserve"> The agricultural innovation process: Research and technology adoption in a changing agricultural sector, </w:t>
      </w:r>
      <w:r w:rsidRPr="00362AF3">
        <w:rPr>
          <w:rFonts w:ascii="Arial" w:hAnsi="Arial" w:cs="Arial"/>
          <w:i/>
          <w:iCs/>
        </w:rPr>
        <w:t>Handbook of Agricultural Economics</w:t>
      </w:r>
      <w:r w:rsidRPr="00362AF3">
        <w:rPr>
          <w:rFonts w:ascii="Arial" w:hAnsi="Arial" w:cs="Arial"/>
        </w:rPr>
        <w:t>, Vol. 1, Part A, p</w:t>
      </w:r>
      <w:r w:rsidR="00362AF3">
        <w:rPr>
          <w:rFonts w:ascii="Arial" w:hAnsi="Arial" w:cs="Arial"/>
        </w:rPr>
        <w:t>p</w:t>
      </w:r>
      <w:r w:rsidRPr="00362AF3">
        <w:rPr>
          <w:rFonts w:ascii="Arial" w:hAnsi="Arial" w:cs="Arial"/>
        </w:rPr>
        <w:t>. 207-261</w:t>
      </w:r>
      <w:r w:rsidR="00362AF3">
        <w:rPr>
          <w:rFonts w:ascii="Arial" w:hAnsi="Arial" w:cs="Arial"/>
        </w:rPr>
        <w:t>.</w:t>
      </w:r>
    </w:p>
    <w:p w14:paraId="6B18E4F9" w14:textId="77777777" w:rsidR="0040253C" w:rsidRPr="00F971EE" w:rsidRDefault="0040253C" w:rsidP="00F971EE">
      <w:pPr>
        <w:spacing w:line="240" w:lineRule="auto"/>
        <w:ind w:left="720" w:hanging="720"/>
        <w:contextualSpacing/>
        <w:jc w:val="both"/>
        <w:rPr>
          <w:rFonts w:ascii="Arial" w:hAnsi="Arial" w:cs="Arial"/>
        </w:rPr>
      </w:pPr>
    </w:p>
    <w:p w14:paraId="35151EAB" w14:textId="161E743E" w:rsidR="0040253C" w:rsidRPr="00362AF3" w:rsidRDefault="0040253C" w:rsidP="00362AF3">
      <w:pPr>
        <w:spacing w:line="240" w:lineRule="auto"/>
        <w:contextualSpacing/>
        <w:jc w:val="both"/>
        <w:rPr>
          <w:rFonts w:ascii="Arial" w:hAnsi="Arial" w:cs="Arial"/>
        </w:rPr>
      </w:pPr>
      <w:r w:rsidRPr="00362AF3">
        <w:rPr>
          <w:rFonts w:ascii="Arial" w:hAnsi="Arial" w:cs="Arial"/>
        </w:rPr>
        <w:t>Suri, T</w:t>
      </w:r>
      <w:r w:rsidR="00362AF3" w:rsidRPr="00362AF3">
        <w:rPr>
          <w:rFonts w:ascii="Arial" w:hAnsi="Arial" w:cs="Arial"/>
        </w:rPr>
        <w:t xml:space="preserve">. (2011). </w:t>
      </w:r>
      <w:r w:rsidRPr="00362AF3">
        <w:rPr>
          <w:rFonts w:ascii="Arial" w:hAnsi="Arial" w:cs="Arial"/>
        </w:rPr>
        <w:t xml:space="preserve">Selection and Comparative Advantage in Technology Adoption, </w:t>
      </w:r>
      <w:proofErr w:type="spellStart"/>
      <w:proofErr w:type="gramStart"/>
      <w:r w:rsidRPr="00362AF3">
        <w:rPr>
          <w:rFonts w:ascii="Arial" w:hAnsi="Arial" w:cs="Arial"/>
          <w:i/>
          <w:iCs/>
        </w:rPr>
        <w:t>Econometrica</w:t>
      </w:r>
      <w:proofErr w:type="spellEnd"/>
      <w:r w:rsidRPr="00362AF3">
        <w:rPr>
          <w:rFonts w:ascii="Arial" w:hAnsi="Arial" w:cs="Arial"/>
        </w:rPr>
        <w:t>,  79</w:t>
      </w:r>
      <w:proofErr w:type="gramEnd"/>
      <w:r w:rsidR="00362AF3">
        <w:rPr>
          <w:rFonts w:ascii="Arial" w:hAnsi="Arial" w:cs="Arial"/>
        </w:rPr>
        <w:t xml:space="preserve"> (</w:t>
      </w:r>
      <w:r w:rsidRPr="00362AF3">
        <w:rPr>
          <w:rFonts w:ascii="Arial" w:hAnsi="Arial" w:cs="Arial"/>
        </w:rPr>
        <w:t>1</w:t>
      </w:r>
      <w:r w:rsidR="00362AF3">
        <w:rPr>
          <w:rFonts w:ascii="Arial" w:hAnsi="Arial" w:cs="Arial"/>
        </w:rPr>
        <w:t xml:space="preserve">): </w:t>
      </w:r>
      <w:r w:rsidRPr="00362AF3">
        <w:rPr>
          <w:rFonts w:ascii="Arial" w:hAnsi="Arial" w:cs="Arial"/>
        </w:rPr>
        <w:t>159-209</w:t>
      </w:r>
      <w:r w:rsidR="00362AF3">
        <w:rPr>
          <w:rFonts w:ascii="Arial" w:hAnsi="Arial" w:cs="Arial"/>
        </w:rPr>
        <w:t>.</w:t>
      </w:r>
    </w:p>
    <w:p w14:paraId="25435F5E" w14:textId="77777777" w:rsidR="00E5367F" w:rsidRPr="00F971EE" w:rsidRDefault="00E5367F" w:rsidP="00F971EE">
      <w:pPr>
        <w:jc w:val="both"/>
        <w:rPr>
          <w:rFonts w:ascii="Arial" w:hAnsi="Arial" w:cs="Arial"/>
        </w:rPr>
      </w:pPr>
    </w:p>
    <w:p w14:paraId="1F7E7A8F" w14:textId="492B3387" w:rsidR="0071461D" w:rsidRPr="00F971EE" w:rsidRDefault="0071461D" w:rsidP="00F971EE">
      <w:pPr>
        <w:jc w:val="both"/>
        <w:rPr>
          <w:rFonts w:ascii="Arial" w:hAnsi="Arial" w:cs="Arial"/>
        </w:rPr>
      </w:pPr>
      <w:r w:rsidRPr="00F971EE">
        <w:rPr>
          <w:rFonts w:ascii="Arial" w:hAnsi="Arial" w:cs="Arial"/>
        </w:rPr>
        <w:t>Syngenta Foundation (2019). Seeds2Be. (</w:t>
      </w:r>
      <w:hyperlink r:id="rId24" w:history="1">
        <w:r w:rsidRPr="00F971EE">
          <w:rPr>
            <w:rStyle w:val="Hyperlink"/>
            <w:rFonts w:ascii="Arial" w:hAnsi="Arial" w:cs="Arial"/>
            <w:color w:val="auto"/>
          </w:rPr>
          <w:t>https://www.syngentafoundation.org/seeds2b</w:t>
        </w:r>
      </w:hyperlink>
      <w:r w:rsidRPr="00F971EE">
        <w:rPr>
          <w:rFonts w:ascii="Arial" w:hAnsi="Arial" w:cs="Arial"/>
        </w:rPr>
        <w:t>). Accessed 23 October 2019.</w:t>
      </w:r>
    </w:p>
    <w:p w14:paraId="59AC75AD" w14:textId="33D5B6E5" w:rsidR="00D653C5" w:rsidRPr="00362AF3" w:rsidRDefault="00D653C5" w:rsidP="00362AF3">
      <w:pPr>
        <w:spacing w:line="240" w:lineRule="auto"/>
        <w:contextualSpacing/>
        <w:jc w:val="both"/>
        <w:rPr>
          <w:rFonts w:ascii="Arial" w:hAnsi="Arial" w:cs="Arial"/>
        </w:rPr>
      </w:pPr>
      <w:proofErr w:type="spellStart"/>
      <w:r w:rsidRPr="00362AF3">
        <w:rPr>
          <w:rFonts w:ascii="Arial" w:hAnsi="Arial" w:cs="Arial"/>
        </w:rPr>
        <w:t>Trienekens</w:t>
      </w:r>
      <w:proofErr w:type="spellEnd"/>
      <w:r w:rsidRPr="00362AF3">
        <w:rPr>
          <w:rFonts w:ascii="Arial" w:hAnsi="Arial" w:cs="Arial"/>
        </w:rPr>
        <w:t>, J</w:t>
      </w:r>
      <w:r w:rsidR="00362AF3" w:rsidRPr="00362AF3">
        <w:rPr>
          <w:rFonts w:ascii="Arial" w:hAnsi="Arial" w:cs="Arial"/>
        </w:rPr>
        <w:t xml:space="preserve">. (2011). </w:t>
      </w:r>
      <w:r w:rsidRPr="00362AF3">
        <w:rPr>
          <w:rFonts w:ascii="Arial" w:hAnsi="Arial" w:cs="Arial"/>
        </w:rPr>
        <w:t xml:space="preserve">Agricultural Value Chains in Developing Countries A Framework for Analysis, </w:t>
      </w:r>
      <w:r w:rsidRPr="00362AF3">
        <w:rPr>
          <w:rFonts w:ascii="Arial" w:hAnsi="Arial" w:cs="Arial"/>
          <w:i/>
          <w:iCs/>
        </w:rPr>
        <w:t>International Food and Agribusiness Management Review</w:t>
      </w:r>
      <w:r w:rsidRPr="00362AF3">
        <w:rPr>
          <w:rFonts w:ascii="Arial" w:hAnsi="Arial" w:cs="Arial"/>
        </w:rPr>
        <w:t>, 14</w:t>
      </w:r>
      <w:r w:rsidR="00362AF3">
        <w:rPr>
          <w:rFonts w:ascii="Arial" w:hAnsi="Arial" w:cs="Arial"/>
        </w:rPr>
        <w:t xml:space="preserve"> (2): </w:t>
      </w:r>
      <w:r w:rsidR="006257CD" w:rsidRPr="006257CD">
        <w:rPr>
          <w:rFonts w:ascii="Arial" w:hAnsi="Arial" w:cs="Arial"/>
          <w:color w:val="FF0000"/>
        </w:rPr>
        <w:t>pages</w:t>
      </w:r>
      <w:r w:rsidR="00362AF3" w:rsidRPr="006257CD">
        <w:rPr>
          <w:rFonts w:ascii="Arial" w:hAnsi="Arial" w:cs="Arial"/>
          <w:color w:val="FF0000"/>
        </w:rPr>
        <w:t xml:space="preserve"> </w:t>
      </w:r>
      <w:r w:rsidRPr="006257CD">
        <w:rPr>
          <w:rFonts w:ascii="Arial" w:hAnsi="Arial" w:cs="Arial"/>
          <w:color w:val="FF0000"/>
        </w:rPr>
        <w:t xml:space="preserve"> </w:t>
      </w:r>
    </w:p>
    <w:p w14:paraId="41A32F2E" w14:textId="77777777" w:rsidR="00E5367F" w:rsidRPr="00F971EE" w:rsidRDefault="00E5367F" w:rsidP="00F971EE">
      <w:pPr>
        <w:spacing w:line="240" w:lineRule="auto"/>
        <w:jc w:val="both"/>
        <w:rPr>
          <w:rFonts w:ascii="Arial" w:hAnsi="Arial" w:cs="Arial"/>
        </w:rPr>
      </w:pPr>
    </w:p>
    <w:p w14:paraId="42E56879" w14:textId="2A05F560" w:rsidR="00940346" w:rsidRPr="00F971EE" w:rsidRDefault="00940346" w:rsidP="00F971EE">
      <w:pPr>
        <w:spacing w:line="240" w:lineRule="auto"/>
        <w:jc w:val="both"/>
        <w:rPr>
          <w:rFonts w:ascii="Arial" w:hAnsi="Arial" w:cs="Arial"/>
        </w:rPr>
      </w:pPr>
      <w:r w:rsidRPr="00F971EE">
        <w:rPr>
          <w:rFonts w:ascii="Arial" w:hAnsi="Arial" w:cs="Arial"/>
        </w:rPr>
        <w:t xml:space="preserve">Tunde, A., Oluwole, F., &amp; Yemi, A. (2018). </w:t>
      </w:r>
      <w:r w:rsidRPr="00F971EE">
        <w:rPr>
          <w:rFonts w:ascii="Arial" w:hAnsi="Arial" w:cs="Arial"/>
          <w:iCs/>
        </w:rPr>
        <w:t>Strategies for scaling agricultural technologies in Africa</w:t>
      </w:r>
      <w:r w:rsidRPr="00F971EE">
        <w:rPr>
          <w:rFonts w:ascii="Arial" w:hAnsi="Arial" w:cs="Arial"/>
        </w:rPr>
        <w:t xml:space="preserve">. Accra, Ghana: Forum for Agricultural Research in Africa (FARA).  </w:t>
      </w:r>
      <w:hyperlink r:id="rId25" w:history="1">
        <w:r w:rsidRPr="00F971EE">
          <w:rPr>
            <w:rStyle w:val="Hyperlink"/>
            <w:rFonts w:ascii="Arial" w:hAnsi="Arial" w:cs="Arial"/>
          </w:rPr>
          <w:t>https://faraafrica.org/wp-content/uploads/2018/02/STRATEGIES-FOR-SCALING-AGRICULTURAL-TECHNOLOGIES-IN-AFRICA.pdf</w:t>
        </w:r>
      </w:hyperlink>
      <w:r w:rsidRPr="00F971EE">
        <w:rPr>
          <w:rFonts w:ascii="Arial" w:hAnsi="Arial" w:cs="Arial"/>
        </w:rPr>
        <w:t xml:space="preserve"> </w:t>
      </w:r>
    </w:p>
    <w:p w14:paraId="07D2C326" w14:textId="77777777" w:rsidR="0071461D" w:rsidRPr="00F971EE" w:rsidRDefault="0071461D" w:rsidP="00F971EE">
      <w:pPr>
        <w:jc w:val="both"/>
        <w:rPr>
          <w:rFonts w:ascii="Arial" w:hAnsi="Arial" w:cs="Arial"/>
        </w:rPr>
      </w:pPr>
      <w:r w:rsidRPr="00F971EE">
        <w:rPr>
          <w:rFonts w:ascii="Arial" w:hAnsi="Arial" w:cs="Arial"/>
        </w:rPr>
        <w:lastRenderedPageBreak/>
        <w:t xml:space="preserve">van den Berg, H. and </w:t>
      </w:r>
      <w:proofErr w:type="spellStart"/>
      <w:r w:rsidRPr="00F971EE">
        <w:rPr>
          <w:rFonts w:ascii="Arial" w:hAnsi="Arial" w:cs="Arial"/>
        </w:rPr>
        <w:t>Jiggins</w:t>
      </w:r>
      <w:proofErr w:type="spellEnd"/>
      <w:r w:rsidRPr="00F971EE">
        <w:rPr>
          <w:rFonts w:ascii="Arial" w:hAnsi="Arial" w:cs="Arial"/>
        </w:rPr>
        <w:t>, J. (2007). Investing in farmers: The impacts of farmer field schools in relation to integrated pest management. </w:t>
      </w:r>
      <w:r w:rsidRPr="00F971EE">
        <w:rPr>
          <w:rStyle w:val="Emphasis"/>
          <w:rFonts w:ascii="Arial" w:hAnsi="Arial" w:cs="Arial"/>
        </w:rPr>
        <w:t>World Development, 35</w:t>
      </w:r>
      <w:r w:rsidRPr="00F971EE">
        <w:rPr>
          <w:rFonts w:ascii="Arial" w:hAnsi="Arial" w:cs="Arial"/>
        </w:rPr>
        <w:t>(4): 663–686.</w:t>
      </w:r>
    </w:p>
    <w:p w14:paraId="09D59BDC" w14:textId="28D648E2" w:rsidR="00652CA6" w:rsidRPr="00F971EE" w:rsidRDefault="00652CA6" w:rsidP="00F971EE">
      <w:pPr>
        <w:jc w:val="both"/>
        <w:rPr>
          <w:rFonts w:ascii="Arial" w:hAnsi="Arial" w:cs="Arial"/>
        </w:rPr>
      </w:pPr>
      <w:r w:rsidRPr="00F971EE">
        <w:rPr>
          <w:rFonts w:ascii="Arial" w:hAnsi="Arial" w:cs="Arial"/>
        </w:rPr>
        <w:t>Varsh</w:t>
      </w:r>
      <w:r w:rsidR="006257CD">
        <w:rPr>
          <w:rFonts w:ascii="Arial" w:hAnsi="Arial" w:cs="Arial"/>
        </w:rPr>
        <w:t>n</w:t>
      </w:r>
      <w:r w:rsidRPr="00F971EE">
        <w:rPr>
          <w:rFonts w:ascii="Arial" w:hAnsi="Arial" w:cs="Arial"/>
        </w:rPr>
        <w:t>ey, R. K. (2019). A decade of Tropical Legumes projects: Development and adoption of improved varieties, creation of market</w:t>
      </w:r>
      <w:r w:rsidRPr="00F971EE">
        <w:rPr>
          <w:rFonts w:ascii="Cambria Math" w:hAnsi="Cambria Math" w:cs="Cambria Math"/>
        </w:rPr>
        <w:t>‐</w:t>
      </w:r>
      <w:r w:rsidRPr="00F971EE">
        <w:rPr>
          <w:rFonts w:ascii="Arial" w:hAnsi="Arial" w:cs="Arial"/>
        </w:rPr>
        <w:t>demand to benefit smallholder farmers and empowerment of national programmes in sub</w:t>
      </w:r>
      <w:r w:rsidRPr="00F971EE">
        <w:rPr>
          <w:rFonts w:ascii="Cambria Math" w:hAnsi="Cambria Math" w:cs="Cambria Math"/>
        </w:rPr>
        <w:t>‐</w:t>
      </w:r>
      <w:r w:rsidRPr="00F971EE">
        <w:rPr>
          <w:rFonts w:ascii="Arial" w:hAnsi="Arial" w:cs="Arial"/>
        </w:rPr>
        <w:t xml:space="preserve">Saharan Africa and South Asia, </w:t>
      </w:r>
      <w:r w:rsidRPr="00F971EE">
        <w:rPr>
          <w:rFonts w:ascii="Arial" w:hAnsi="Arial" w:cs="Arial"/>
          <w:i/>
          <w:iCs/>
        </w:rPr>
        <w:t>Plant Breeding</w:t>
      </w:r>
      <w:r w:rsidRPr="00F971EE">
        <w:rPr>
          <w:rFonts w:ascii="Arial" w:hAnsi="Arial" w:cs="Arial"/>
        </w:rPr>
        <w:t xml:space="preserve"> 138: 379-388.</w:t>
      </w:r>
    </w:p>
    <w:p w14:paraId="64AAA1CB" w14:textId="6480C988" w:rsidR="00C50545" w:rsidRPr="00F971EE" w:rsidRDefault="00C50545" w:rsidP="00F971EE">
      <w:pPr>
        <w:spacing w:line="240" w:lineRule="auto"/>
        <w:jc w:val="both"/>
        <w:rPr>
          <w:rFonts w:ascii="Arial" w:hAnsi="Arial" w:cs="Arial"/>
        </w:rPr>
      </w:pPr>
      <w:proofErr w:type="spellStart"/>
      <w:r w:rsidRPr="00F971EE">
        <w:rPr>
          <w:rFonts w:ascii="Arial" w:hAnsi="Arial" w:cs="Arial"/>
        </w:rPr>
        <w:t>Verkaart</w:t>
      </w:r>
      <w:proofErr w:type="spellEnd"/>
      <w:r w:rsidRPr="00F971EE">
        <w:rPr>
          <w:rFonts w:ascii="Arial" w:hAnsi="Arial" w:cs="Arial"/>
        </w:rPr>
        <w:t xml:space="preserve">, S., Mausch, K., </w:t>
      </w:r>
      <w:proofErr w:type="spellStart"/>
      <w:r w:rsidRPr="00F971EE">
        <w:rPr>
          <w:rFonts w:ascii="Arial" w:hAnsi="Arial" w:cs="Arial"/>
        </w:rPr>
        <w:t>Claessens</w:t>
      </w:r>
      <w:proofErr w:type="spellEnd"/>
      <w:r w:rsidRPr="00F971EE">
        <w:rPr>
          <w:rFonts w:ascii="Arial" w:hAnsi="Arial" w:cs="Arial"/>
        </w:rPr>
        <w:t xml:space="preserve">, L., &amp; </w:t>
      </w:r>
      <w:proofErr w:type="spellStart"/>
      <w:r w:rsidRPr="00F971EE">
        <w:rPr>
          <w:rFonts w:ascii="Arial" w:hAnsi="Arial" w:cs="Arial"/>
        </w:rPr>
        <w:t>Giller</w:t>
      </w:r>
      <w:proofErr w:type="spellEnd"/>
      <w:r w:rsidRPr="00F971EE">
        <w:rPr>
          <w:rFonts w:ascii="Arial" w:hAnsi="Arial" w:cs="Arial"/>
        </w:rPr>
        <w:t xml:space="preserve">, E. K. (2019). A recipe for success? Learning from the rapid adoption of improved chickpea varieties in Ethiopia. </w:t>
      </w:r>
      <w:r w:rsidRPr="00F971EE">
        <w:rPr>
          <w:rFonts w:ascii="Arial" w:hAnsi="Arial" w:cs="Arial"/>
          <w:i/>
        </w:rPr>
        <w:t>International Journal of Agricultural Sustainability, 17</w:t>
      </w:r>
      <w:r w:rsidRPr="00F971EE">
        <w:rPr>
          <w:rFonts w:ascii="Arial" w:hAnsi="Arial" w:cs="Arial"/>
        </w:rPr>
        <w:t xml:space="preserve">(1), 34-48. </w:t>
      </w:r>
    </w:p>
    <w:p w14:paraId="5097E32F" w14:textId="29845F78" w:rsidR="0040253C" w:rsidRPr="006257CD" w:rsidRDefault="0040253C" w:rsidP="006257CD">
      <w:pPr>
        <w:spacing w:line="240" w:lineRule="auto"/>
        <w:contextualSpacing/>
        <w:jc w:val="both"/>
        <w:rPr>
          <w:rFonts w:ascii="Arial" w:hAnsi="Arial" w:cs="Arial"/>
        </w:rPr>
      </w:pPr>
      <w:proofErr w:type="spellStart"/>
      <w:r w:rsidRPr="006257CD">
        <w:rPr>
          <w:rFonts w:ascii="Arial" w:hAnsi="Arial" w:cs="Arial"/>
        </w:rPr>
        <w:t>Vroegindewey</w:t>
      </w:r>
      <w:proofErr w:type="spellEnd"/>
      <w:r w:rsidRPr="006257CD">
        <w:rPr>
          <w:rFonts w:ascii="Arial" w:hAnsi="Arial" w:cs="Arial"/>
        </w:rPr>
        <w:t>, R</w:t>
      </w:r>
      <w:r w:rsidR="006257CD" w:rsidRPr="006257CD">
        <w:rPr>
          <w:rFonts w:ascii="Arial" w:hAnsi="Arial" w:cs="Arial"/>
        </w:rPr>
        <w:t xml:space="preserve">. </w:t>
      </w:r>
      <w:r w:rsidRPr="006257CD">
        <w:rPr>
          <w:rFonts w:ascii="Arial" w:hAnsi="Arial" w:cs="Arial"/>
        </w:rPr>
        <w:t xml:space="preserve">and </w:t>
      </w:r>
      <w:proofErr w:type="spellStart"/>
      <w:r w:rsidRPr="006257CD">
        <w:rPr>
          <w:rFonts w:ascii="Arial" w:hAnsi="Arial" w:cs="Arial"/>
        </w:rPr>
        <w:t>Hodbod</w:t>
      </w:r>
      <w:proofErr w:type="spellEnd"/>
      <w:r w:rsidRPr="006257CD">
        <w:rPr>
          <w:rFonts w:ascii="Arial" w:hAnsi="Arial" w:cs="Arial"/>
        </w:rPr>
        <w:t xml:space="preserve">, </w:t>
      </w:r>
      <w:r w:rsidR="006257CD" w:rsidRPr="006257CD">
        <w:rPr>
          <w:rFonts w:ascii="Arial" w:hAnsi="Arial" w:cs="Arial"/>
        </w:rPr>
        <w:t xml:space="preserve">J. (2018). </w:t>
      </w:r>
      <w:r w:rsidRPr="006257CD">
        <w:rPr>
          <w:rFonts w:ascii="Arial" w:hAnsi="Arial" w:cs="Arial"/>
        </w:rPr>
        <w:t xml:space="preserve">Resilience of Agricultural Value Chains in Developing Country Contexts: A Framework and Assessment Approach, </w:t>
      </w:r>
      <w:r w:rsidRPr="006257CD">
        <w:rPr>
          <w:rFonts w:ascii="Arial" w:hAnsi="Arial" w:cs="Arial"/>
          <w:i/>
          <w:iCs/>
        </w:rPr>
        <w:t>Sustainability</w:t>
      </w:r>
      <w:r w:rsidRPr="006257CD">
        <w:rPr>
          <w:rFonts w:ascii="Arial" w:hAnsi="Arial" w:cs="Arial"/>
        </w:rPr>
        <w:t>, 10</w:t>
      </w:r>
      <w:r w:rsidR="006257CD">
        <w:rPr>
          <w:rFonts w:ascii="Arial" w:hAnsi="Arial" w:cs="Arial"/>
        </w:rPr>
        <w:t xml:space="preserve">: </w:t>
      </w:r>
      <w:r w:rsidRPr="006257CD">
        <w:rPr>
          <w:rFonts w:ascii="Arial" w:hAnsi="Arial" w:cs="Arial"/>
        </w:rPr>
        <w:t>916-934</w:t>
      </w:r>
      <w:r w:rsidR="008373F7">
        <w:rPr>
          <w:rFonts w:ascii="Arial" w:hAnsi="Arial" w:cs="Arial"/>
        </w:rPr>
        <w:t>.</w:t>
      </w:r>
      <w:r w:rsidRPr="006257CD">
        <w:rPr>
          <w:rFonts w:ascii="Arial" w:hAnsi="Arial" w:cs="Arial"/>
        </w:rPr>
        <w:t xml:space="preserve"> </w:t>
      </w:r>
    </w:p>
    <w:p w14:paraId="6838C356" w14:textId="6B885C9F" w:rsidR="00C50545" w:rsidRPr="00F971EE" w:rsidRDefault="00C50545" w:rsidP="00F971EE">
      <w:pPr>
        <w:jc w:val="both"/>
        <w:rPr>
          <w:rFonts w:ascii="Arial" w:hAnsi="Arial" w:cs="Arial"/>
        </w:rPr>
      </w:pPr>
    </w:p>
    <w:p w14:paraId="29688084" w14:textId="25CC3866" w:rsidR="0039331E" w:rsidRPr="008373F7" w:rsidRDefault="0039331E" w:rsidP="008373F7">
      <w:pPr>
        <w:spacing w:line="240" w:lineRule="auto"/>
        <w:contextualSpacing/>
        <w:jc w:val="both"/>
        <w:rPr>
          <w:rFonts w:ascii="Arial" w:hAnsi="Arial" w:cs="Arial"/>
        </w:rPr>
      </w:pPr>
      <w:proofErr w:type="spellStart"/>
      <w:r w:rsidRPr="008373F7">
        <w:rPr>
          <w:rFonts w:ascii="Arial" w:hAnsi="Arial" w:cs="Arial"/>
        </w:rPr>
        <w:t>Wigboldus</w:t>
      </w:r>
      <w:proofErr w:type="spellEnd"/>
      <w:r w:rsidRPr="008373F7">
        <w:rPr>
          <w:rFonts w:ascii="Arial" w:hAnsi="Arial" w:cs="Arial"/>
        </w:rPr>
        <w:t>, S</w:t>
      </w:r>
      <w:r w:rsidR="008373F7">
        <w:rPr>
          <w:rFonts w:ascii="Arial" w:hAnsi="Arial" w:cs="Arial"/>
        </w:rPr>
        <w:t xml:space="preserve">., </w:t>
      </w:r>
      <w:proofErr w:type="spellStart"/>
      <w:r w:rsidRPr="008373F7">
        <w:rPr>
          <w:rFonts w:ascii="Arial" w:hAnsi="Arial" w:cs="Arial"/>
        </w:rPr>
        <w:t>Klerkx</w:t>
      </w:r>
      <w:proofErr w:type="spellEnd"/>
      <w:r w:rsidRPr="008373F7">
        <w:rPr>
          <w:rFonts w:ascii="Arial" w:hAnsi="Arial" w:cs="Arial"/>
        </w:rPr>
        <w:t>,</w:t>
      </w:r>
      <w:r w:rsidR="008373F7">
        <w:rPr>
          <w:rFonts w:ascii="Arial" w:hAnsi="Arial" w:cs="Arial"/>
        </w:rPr>
        <w:t xml:space="preserve"> L., </w:t>
      </w:r>
      <w:proofErr w:type="spellStart"/>
      <w:r w:rsidRPr="008373F7">
        <w:rPr>
          <w:rFonts w:ascii="Arial" w:hAnsi="Arial" w:cs="Arial"/>
        </w:rPr>
        <w:t>Leeuwis</w:t>
      </w:r>
      <w:proofErr w:type="spellEnd"/>
      <w:r w:rsidRPr="008373F7">
        <w:rPr>
          <w:rFonts w:ascii="Arial" w:hAnsi="Arial" w:cs="Arial"/>
        </w:rPr>
        <w:t>,</w:t>
      </w:r>
      <w:r w:rsidR="008373F7">
        <w:rPr>
          <w:rFonts w:ascii="Arial" w:hAnsi="Arial" w:cs="Arial"/>
        </w:rPr>
        <w:t xml:space="preserve"> C., </w:t>
      </w:r>
      <w:proofErr w:type="spellStart"/>
      <w:r w:rsidRPr="008373F7">
        <w:rPr>
          <w:rFonts w:ascii="Arial" w:hAnsi="Arial" w:cs="Arial"/>
        </w:rPr>
        <w:t>Schut</w:t>
      </w:r>
      <w:proofErr w:type="spellEnd"/>
      <w:r w:rsidRPr="008373F7">
        <w:rPr>
          <w:rFonts w:ascii="Arial" w:hAnsi="Arial" w:cs="Arial"/>
        </w:rPr>
        <w:t xml:space="preserve">, </w:t>
      </w:r>
      <w:r w:rsidR="008373F7">
        <w:rPr>
          <w:rFonts w:ascii="Arial" w:hAnsi="Arial" w:cs="Arial"/>
        </w:rPr>
        <w:t xml:space="preserve">M., </w:t>
      </w:r>
      <w:proofErr w:type="spellStart"/>
      <w:r w:rsidRPr="008373F7">
        <w:rPr>
          <w:rFonts w:ascii="Arial" w:hAnsi="Arial" w:cs="Arial"/>
        </w:rPr>
        <w:t>Muilerman</w:t>
      </w:r>
      <w:proofErr w:type="spellEnd"/>
      <w:r w:rsidRPr="008373F7">
        <w:rPr>
          <w:rFonts w:ascii="Arial" w:hAnsi="Arial" w:cs="Arial"/>
        </w:rPr>
        <w:t>,</w:t>
      </w:r>
      <w:r w:rsidR="008373F7">
        <w:rPr>
          <w:rFonts w:ascii="Arial" w:hAnsi="Arial" w:cs="Arial"/>
        </w:rPr>
        <w:t xml:space="preserve"> S., and </w:t>
      </w:r>
      <w:proofErr w:type="spellStart"/>
      <w:r w:rsidRPr="008373F7">
        <w:rPr>
          <w:rFonts w:ascii="Arial" w:hAnsi="Arial" w:cs="Arial"/>
        </w:rPr>
        <w:t>Jochemsen</w:t>
      </w:r>
      <w:proofErr w:type="spellEnd"/>
      <w:r w:rsidRPr="008373F7">
        <w:rPr>
          <w:rFonts w:ascii="Arial" w:hAnsi="Arial" w:cs="Arial"/>
        </w:rPr>
        <w:t>,</w:t>
      </w:r>
      <w:r w:rsidR="008373F7">
        <w:rPr>
          <w:rFonts w:ascii="Arial" w:hAnsi="Arial" w:cs="Arial"/>
        </w:rPr>
        <w:t xml:space="preserve"> H. (2016)</w:t>
      </w:r>
      <w:r w:rsidRPr="008373F7">
        <w:rPr>
          <w:rFonts w:ascii="Arial" w:hAnsi="Arial" w:cs="Arial"/>
        </w:rPr>
        <w:t xml:space="preserve"> Systemic perspectives on scaling agricultural innovations: A Review, </w:t>
      </w:r>
      <w:r w:rsidRPr="008373F7">
        <w:rPr>
          <w:rFonts w:ascii="Arial" w:hAnsi="Arial" w:cs="Arial"/>
          <w:i/>
          <w:iCs/>
        </w:rPr>
        <w:t>Agronomy for Sustainable Development</w:t>
      </w:r>
      <w:r w:rsidRPr="008373F7">
        <w:rPr>
          <w:rFonts w:ascii="Arial" w:hAnsi="Arial" w:cs="Arial"/>
        </w:rPr>
        <w:t xml:space="preserve">, </w:t>
      </w:r>
      <w:r w:rsidR="008373F7" w:rsidRPr="008373F7">
        <w:rPr>
          <w:rFonts w:ascii="Arial" w:hAnsi="Arial" w:cs="Arial"/>
          <w:color w:val="FF0000"/>
        </w:rPr>
        <w:t>Volume</w:t>
      </w:r>
      <w:r w:rsidR="008373F7">
        <w:rPr>
          <w:rFonts w:ascii="Arial" w:hAnsi="Arial" w:cs="Arial"/>
        </w:rPr>
        <w:t xml:space="preserve">: </w:t>
      </w:r>
      <w:r w:rsidRPr="008373F7">
        <w:rPr>
          <w:rFonts w:ascii="Arial" w:hAnsi="Arial" w:cs="Arial"/>
        </w:rPr>
        <w:t xml:space="preserve">36-46  </w:t>
      </w:r>
    </w:p>
    <w:p w14:paraId="74DA788C" w14:textId="77777777" w:rsidR="0039331E" w:rsidRPr="00F971EE" w:rsidRDefault="0039331E" w:rsidP="00F971EE">
      <w:pPr>
        <w:spacing w:line="240" w:lineRule="auto"/>
        <w:ind w:left="720" w:hanging="720"/>
        <w:contextualSpacing/>
        <w:jc w:val="both"/>
        <w:rPr>
          <w:rFonts w:ascii="Arial" w:hAnsi="Arial" w:cs="Arial"/>
        </w:rPr>
      </w:pPr>
    </w:p>
    <w:p w14:paraId="1F0BAF14" w14:textId="5E63181F" w:rsidR="00B50E9E" w:rsidRDefault="00A82FB3" w:rsidP="008373F7">
      <w:pPr>
        <w:spacing w:line="240" w:lineRule="auto"/>
        <w:contextualSpacing/>
        <w:jc w:val="both"/>
        <w:rPr>
          <w:rFonts w:ascii="Arial" w:hAnsi="Arial" w:cs="Arial"/>
        </w:rPr>
      </w:pPr>
      <w:r w:rsidRPr="00CE211D">
        <w:rPr>
          <w:rFonts w:ascii="Arial" w:hAnsi="Arial" w:cs="Arial"/>
        </w:rPr>
        <w:t>Wiggins, S</w:t>
      </w:r>
      <w:r w:rsidR="008373F7">
        <w:rPr>
          <w:rFonts w:ascii="Arial" w:hAnsi="Arial" w:cs="Arial"/>
        </w:rPr>
        <w:t xml:space="preserve">. </w:t>
      </w:r>
      <w:r w:rsidRPr="00CE211D">
        <w:rPr>
          <w:rFonts w:ascii="Arial" w:hAnsi="Arial" w:cs="Arial"/>
        </w:rPr>
        <w:t xml:space="preserve">and Keats, </w:t>
      </w:r>
      <w:r w:rsidR="008373F7">
        <w:rPr>
          <w:rFonts w:ascii="Arial" w:hAnsi="Arial" w:cs="Arial"/>
        </w:rPr>
        <w:t xml:space="preserve">S. (2013). </w:t>
      </w:r>
      <w:r w:rsidRPr="00CE211D">
        <w:rPr>
          <w:rFonts w:ascii="Arial" w:hAnsi="Arial" w:cs="Arial"/>
          <w:i/>
        </w:rPr>
        <w:t>Leaping and Learning: Linking Smallholders to Markets</w:t>
      </w:r>
      <w:r w:rsidRPr="00CE211D">
        <w:rPr>
          <w:rFonts w:ascii="Arial" w:hAnsi="Arial" w:cs="Arial"/>
        </w:rPr>
        <w:t>, Agriculture for Impact</w:t>
      </w:r>
      <w:r w:rsidR="008373F7">
        <w:rPr>
          <w:rFonts w:ascii="Arial" w:hAnsi="Arial" w:cs="Arial"/>
        </w:rPr>
        <w:t>.</w:t>
      </w:r>
      <w:r w:rsidRPr="00CE211D">
        <w:rPr>
          <w:rFonts w:ascii="Arial" w:hAnsi="Arial" w:cs="Arial"/>
        </w:rPr>
        <w:t xml:space="preserve"> </w:t>
      </w:r>
    </w:p>
    <w:p w14:paraId="1AA149D6" w14:textId="77777777" w:rsidR="00B50E9E" w:rsidRDefault="00B50E9E">
      <w:pPr>
        <w:rPr>
          <w:rFonts w:ascii="Arial" w:hAnsi="Arial" w:cs="Arial"/>
        </w:rPr>
      </w:pPr>
      <w:r>
        <w:rPr>
          <w:rFonts w:ascii="Arial" w:hAnsi="Arial" w:cs="Arial"/>
        </w:rPr>
        <w:br w:type="page"/>
      </w:r>
    </w:p>
    <w:p w14:paraId="4A66A209" w14:textId="77777777" w:rsidR="00A82FB3" w:rsidRPr="00CE211D" w:rsidRDefault="00A82FB3" w:rsidP="008373F7">
      <w:pPr>
        <w:spacing w:line="240" w:lineRule="auto"/>
        <w:contextualSpacing/>
        <w:jc w:val="both"/>
        <w:rPr>
          <w:rFonts w:ascii="Arial" w:hAnsi="Arial" w:cs="Arial"/>
        </w:rPr>
      </w:pPr>
      <w:bookmarkStart w:id="0" w:name="_GoBack"/>
      <w:bookmarkEnd w:id="0"/>
    </w:p>
    <w:sectPr w:rsidR="00A82FB3" w:rsidRPr="00CE211D">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1FFD" w14:textId="77777777" w:rsidR="005A2577" w:rsidRDefault="005A2577">
      <w:pPr>
        <w:spacing w:after="0" w:line="240" w:lineRule="auto"/>
      </w:pPr>
      <w:r>
        <w:separator/>
      </w:r>
    </w:p>
  </w:endnote>
  <w:endnote w:type="continuationSeparator" w:id="0">
    <w:p w14:paraId="5FC63A8F" w14:textId="77777777" w:rsidR="005A2577" w:rsidRDefault="005A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184784"/>
      <w:docPartObj>
        <w:docPartGallery w:val="Page Numbers (Bottom of Page)"/>
        <w:docPartUnique/>
      </w:docPartObj>
    </w:sdtPr>
    <w:sdtEndPr>
      <w:rPr>
        <w:noProof/>
      </w:rPr>
    </w:sdtEndPr>
    <w:sdtContent>
      <w:p w14:paraId="2A70E940" w14:textId="48C3DA68" w:rsidR="00C31717" w:rsidRDefault="00C31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F910E" w14:textId="77777777" w:rsidR="00C31717" w:rsidRDefault="00C3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268A" w14:textId="77777777" w:rsidR="005A2577" w:rsidRDefault="005A2577">
      <w:pPr>
        <w:spacing w:after="0" w:line="240" w:lineRule="auto"/>
      </w:pPr>
      <w:r>
        <w:separator/>
      </w:r>
    </w:p>
  </w:footnote>
  <w:footnote w:type="continuationSeparator" w:id="0">
    <w:p w14:paraId="67103B2A" w14:textId="77777777" w:rsidR="005A2577" w:rsidRDefault="005A2577">
      <w:pPr>
        <w:spacing w:after="0" w:line="240" w:lineRule="auto"/>
      </w:pPr>
      <w:r>
        <w:continuationSeparator/>
      </w:r>
    </w:p>
  </w:footnote>
  <w:footnote w:id="1">
    <w:p w14:paraId="234B24CC" w14:textId="403C75DC" w:rsidR="00C31717" w:rsidRDefault="00C31717" w:rsidP="00B86E25">
      <w:pPr>
        <w:pStyle w:val="FootnoteText"/>
        <w:jc w:val="both"/>
      </w:pPr>
      <w:r>
        <w:rPr>
          <w:rStyle w:val="FootnoteReference"/>
        </w:rPr>
        <w:footnoteRef/>
      </w:r>
      <w:r>
        <w:t xml:space="preserve"> Phase 1 of the HOPE project had more than 1,000 milestones, which meant that annual planning meetings were dominated by monitoring progress against milestones rather than reflecting on what we were learning and the implications of these lessons for the project’s Theory of Change.  Even this was tame compared with the AVCD project in Kenya,  funded by USAID’s Feed the Future Program, which required monitoring reports every two weeks (M. Siambi, pers. comm.)</w:t>
      </w:r>
    </w:p>
  </w:footnote>
  <w:footnote w:id="2">
    <w:p w14:paraId="14CF5E9C" w14:textId="3185CFEC" w:rsidR="00C31717" w:rsidRDefault="00C31717" w:rsidP="00850A00">
      <w:pPr>
        <w:pStyle w:val="FootnoteText"/>
        <w:jc w:val="both"/>
      </w:pPr>
      <w:r>
        <w:rPr>
          <w:rStyle w:val="FootnoteReference"/>
        </w:rPr>
        <w:footnoteRef/>
      </w:r>
      <w:r>
        <w:t xml:space="preserve"> In Phase 1 of the HOPE project, for example, </w:t>
      </w:r>
      <w:r w:rsidR="00822C7F">
        <w:t xml:space="preserve">one of the authors </w:t>
      </w:r>
      <w:r>
        <w:t>submitted a list of lessons learned from market development which challenged some of the project’s assumptions. The response from the Project Manager was that it was “too late”.</w:t>
      </w:r>
    </w:p>
    <w:p w14:paraId="726D387F" w14:textId="77777777" w:rsidR="00C31717" w:rsidRDefault="00C31717" w:rsidP="00850A00">
      <w:pPr>
        <w:pStyle w:val="FootnoteText"/>
        <w:jc w:val="both"/>
      </w:pPr>
      <w:r>
        <w:t xml:space="preserve"> </w:t>
      </w:r>
    </w:p>
  </w:footnote>
  <w:footnote w:id="3">
    <w:p w14:paraId="295CCDB2" w14:textId="5D53FB01" w:rsidR="00C31717" w:rsidRDefault="00C31717" w:rsidP="002900FE">
      <w:pPr>
        <w:jc w:val="both"/>
      </w:pPr>
      <w:r>
        <w:rPr>
          <w:rStyle w:val="FootnoteReference"/>
        </w:rPr>
        <w:footnoteRef/>
      </w:r>
      <w:r>
        <w:t xml:space="preserve"> </w:t>
      </w:r>
      <w:r w:rsidRPr="00280978">
        <w:rPr>
          <w:rFonts w:ascii="Arial" w:hAnsi="Arial" w:cs="Arial"/>
          <w:sz w:val="20"/>
          <w:szCs w:val="20"/>
        </w:rPr>
        <w:t xml:space="preserve">For example, USAID’s Malawi </w:t>
      </w:r>
      <w:r>
        <w:rPr>
          <w:rFonts w:ascii="Arial" w:hAnsi="Arial" w:cs="Arial"/>
          <w:sz w:val="20"/>
          <w:szCs w:val="20"/>
        </w:rPr>
        <w:t xml:space="preserve">country strategy </w:t>
      </w:r>
      <w:r w:rsidRPr="00280978">
        <w:rPr>
          <w:rFonts w:ascii="Arial" w:hAnsi="Arial" w:cs="Arial"/>
          <w:sz w:val="20"/>
          <w:szCs w:val="20"/>
        </w:rPr>
        <w:t xml:space="preserve">admits that “A main barrier [to market sales] is that smallholder farmers often do not view farming as a business, but as a means for survival” </w:t>
      </w:r>
      <w:r>
        <w:rPr>
          <w:rFonts w:ascii="Arial" w:hAnsi="Arial" w:cs="Arial"/>
          <w:sz w:val="20"/>
          <w:szCs w:val="20"/>
        </w:rPr>
        <w:t>yet</w:t>
      </w:r>
      <w:r w:rsidRPr="00280978">
        <w:rPr>
          <w:rFonts w:ascii="Arial" w:hAnsi="Arial" w:cs="Arial"/>
          <w:sz w:val="20"/>
          <w:szCs w:val="20"/>
        </w:rPr>
        <w:t xml:space="preserve"> in the next breath </w:t>
      </w:r>
      <w:r>
        <w:rPr>
          <w:rFonts w:ascii="Arial" w:hAnsi="Arial" w:cs="Arial"/>
          <w:sz w:val="20"/>
          <w:szCs w:val="20"/>
        </w:rPr>
        <w:t xml:space="preserve">declares </w:t>
      </w:r>
      <w:r w:rsidRPr="00280978">
        <w:rPr>
          <w:rFonts w:ascii="Arial" w:hAnsi="Arial" w:cs="Arial"/>
          <w:sz w:val="20"/>
          <w:szCs w:val="20"/>
        </w:rPr>
        <w:t xml:space="preserve">that </w:t>
      </w:r>
      <w:r>
        <w:rPr>
          <w:rFonts w:ascii="Arial" w:hAnsi="Arial" w:cs="Arial"/>
          <w:sz w:val="20"/>
          <w:szCs w:val="20"/>
        </w:rPr>
        <w:t xml:space="preserve">its strategy </w:t>
      </w:r>
      <w:r w:rsidRPr="00280978">
        <w:rPr>
          <w:rFonts w:ascii="Arial" w:hAnsi="Arial" w:cs="Arial"/>
          <w:sz w:val="20"/>
          <w:szCs w:val="20"/>
        </w:rPr>
        <w:t>will “help farmers conduct business plans and make sound production choices that yield greater profits” (USAID, 2019).</w:t>
      </w:r>
    </w:p>
  </w:footnote>
  <w:footnote w:id="4">
    <w:p w14:paraId="27ACBFB2" w14:textId="251C064D" w:rsidR="00C31717" w:rsidRDefault="00C31717" w:rsidP="00B50FBD">
      <w:pPr>
        <w:pStyle w:val="FootnoteText"/>
        <w:jc w:val="both"/>
      </w:pPr>
      <w:r>
        <w:rPr>
          <w:rStyle w:val="FootnoteReference"/>
        </w:rPr>
        <w:footnoteRef/>
      </w:r>
      <w:r>
        <w:t xml:space="preserve"> </w:t>
      </w:r>
      <w:r w:rsidRPr="005C17A3">
        <w:rPr>
          <w:rFonts w:ascii="Arial" w:hAnsi="Arial" w:cs="Arial"/>
        </w:rPr>
        <w:t>The ValueLinks framework</w:t>
      </w:r>
      <w:r>
        <w:rPr>
          <w:rFonts w:ascii="Arial" w:hAnsi="Arial" w:cs="Arial"/>
        </w:rPr>
        <w:t xml:space="preserve"> </w:t>
      </w:r>
      <w:r w:rsidRPr="00AA6F2A">
        <w:rPr>
          <w:rFonts w:ascii="Arial" w:hAnsi="Arial" w:cs="Arial"/>
        </w:rPr>
        <w:t>define</w:t>
      </w:r>
      <w:r>
        <w:rPr>
          <w:rFonts w:ascii="Arial" w:hAnsi="Arial" w:cs="Arial"/>
        </w:rPr>
        <w:t>s a “</w:t>
      </w:r>
      <w:r w:rsidRPr="00AA6F2A">
        <w:rPr>
          <w:rFonts w:ascii="Arial" w:hAnsi="Arial" w:cs="Arial"/>
        </w:rPr>
        <w:t>value chain actor</w:t>
      </w:r>
      <w:r>
        <w:rPr>
          <w:rFonts w:ascii="Arial" w:hAnsi="Arial" w:cs="Arial"/>
        </w:rPr>
        <w:t>”</w:t>
      </w:r>
      <w:r w:rsidRPr="00AA6F2A">
        <w:rPr>
          <w:rFonts w:ascii="Arial" w:hAnsi="Arial" w:cs="Arial"/>
        </w:rPr>
        <w:t xml:space="preserve"> as </w:t>
      </w:r>
      <w:r>
        <w:rPr>
          <w:rFonts w:ascii="Arial" w:hAnsi="Arial" w:cs="Arial"/>
        </w:rPr>
        <w:t xml:space="preserve">one who takes ownership of the product that is handled in the chain between </w:t>
      </w:r>
      <w:r w:rsidRPr="00AA6F2A">
        <w:rPr>
          <w:rFonts w:ascii="Arial" w:hAnsi="Arial" w:cs="Arial"/>
        </w:rPr>
        <w:t xml:space="preserve">production </w:t>
      </w:r>
      <w:r>
        <w:rPr>
          <w:rFonts w:ascii="Arial" w:hAnsi="Arial" w:cs="Arial"/>
        </w:rPr>
        <w:t>and</w:t>
      </w:r>
      <w:r w:rsidRPr="00AA6F2A">
        <w:rPr>
          <w:rFonts w:ascii="Arial" w:hAnsi="Arial" w:cs="Arial"/>
        </w:rPr>
        <w:t xml:space="preserve"> final consumption</w:t>
      </w:r>
      <w:r>
        <w:rPr>
          <w:rFonts w:ascii="Arial" w:hAnsi="Arial" w:cs="Arial"/>
        </w:rPr>
        <w:t>, which makes s</w:t>
      </w:r>
      <w:r w:rsidRPr="00AA6F2A">
        <w:rPr>
          <w:rFonts w:ascii="Arial" w:hAnsi="Arial" w:cs="Arial"/>
        </w:rPr>
        <w:t xml:space="preserve">eed supply </w:t>
      </w:r>
      <w:r>
        <w:rPr>
          <w:rFonts w:ascii="Arial" w:hAnsi="Arial" w:cs="Arial"/>
        </w:rPr>
        <w:t xml:space="preserve">an </w:t>
      </w:r>
      <w:r w:rsidRPr="00AA6F2A">
        <w:rPr>
          <w:rFonts w:ascii="Arial" w:hAnsi="Arial" w:cs="Arial"/>
        </w:rPr>
        <w:t>“</w:t>
      </w:r>
      <w:r>
        <w:rPr>
          <w:rFonts w:ascii="Arial" w:hAnsi="Arial" w:cs="Arial"/>
        </w:rPr>
        <w:t>input provider</w:t>
      </w:r>
      <w:r w:rsidRPr="00AA6F2A">
        <w:rPr>
          <w:rFonts w:ascii="Arial" w:hAnsi="Arial" w:cs="Arial"/>
        </w:rPr>
        <w:t xml:space="preserve">” </w:t>
      </w:r>
      <w:r>
        <w:rPr>
          <w:rFonts w:ascii="Arial" w:hAnsi="Arial" w:cs="Arial"/>
        </w:rPr>
        <w:t xml:space="preserve">to the value chain </w:t>
      </w:r>
      <w:r w:rsidRPr="00AA6F2A">
        <w:rPr>
          <w:rFonts w:ascii="Arial" w:hAnsi="Arial" w:cs="Arial"/>
        </w:rPr>
        <w:t xml:space="preserve">rather than </w:t>
      </w:r>
      <w:r>
        <w:rPr>
          <w:rFonts w:ascii="Arial" w:hAnsi="Arial" w:cs="Arial"/>
        </w:rPr>
        <w:t>an actor in the value chain (Springer-Heinze, 2017)</w:t>
      </w:r>
      <w:r w:rsidRPr="00AA6F2A">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5DF6"/>
    <w:multiLevelType w:val="hybridMultilevel"/>
    <w:tmpl w:val="85209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721A"/>
    <w:multiLevelType w:val="hybridMultilevel"/>
    <w:tmpl w:val="3064F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0540F"/>
    <w:multiLevelType w:val="hybridMultilevel"/>
    <w:tmpl w:val="F230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62E6F"/>
    <w:multiLevelType w:val="hybridMultilevel"/>
    <w:tmpl w:val="09AED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7643B"/>
    <w:multiLevelType w:val="hybridMultilevel"/>
    <w:tmpl w:val="8C40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13F3E"/>
    <w:multiLevelType w:val="multilevel"/>
    <w:tmpl w:val="8D488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CD86FFB"/>
    <w:multiLevelType w:val="hybridMultilevel"/>
    <w:tmpl w:val="CE4E0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C686B"/>
    <w:multiLevelType w:val="hybridMultilevel"/>
    <w:tmpl w:val="8CD8B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432CE"/>
    <w:multiLevelType w:val="hybridMultilevel"/>
    <w:tmpl w:val="9EA23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721686"/>
    <w:multiLevelType w:val="hybridMultilevel"/>
    <w:tmpl w:val="8C40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65418A"/>
    <w:multiLevelType w:val="hybridMultilevel"/>
    <w:tmpl w:val="8C40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8"/>
  </w:num>
  <w:num w:numId="6">
    <w:abstractNumId w:val="1"/>
  </w:num>
  <w:num w:numId="7">
    <w:abstractNumId w:val="7"/>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08"/>
    <w:rsid w:val="00007080"/>
    <w:rsid w:val="000077A8"/>
    <w:rsid w:val="0001448F"/>
    <w:rsid w:val="00015F00"/>
    <w:rsid w:val="00016348"/>
    <w:rsid w:val="000163AA"/>
    <w:rsid w:val="00020126"/>
    <w:rsid w:val="00020A76"/>
    <w:rsid w:val="00021C4B"/>
    <w:rsid w:val="00024D33"/>
    <w:rsid w:val="00026AA6"/>
    <w:rsid w:val="00056028"/>
    <w:rsid w:val="00057590"/>
    <w:rsid w:val="00061FDC"/>
    <w:rsid w:val="00063A87"/>
    <w:rsid w:val="0006518B"/>
    <w:rsid w:val="0007278E"/>
    <w:rsid w:val="00073506"/>
    <w:rsid w:val="000735A4"/>
    <w:rsid w:val="0007771F"/>
    <w:rsid w:val="0008014D"/>
    <w:rsid w:val="00082C1F"/>
    <w:rsid w:val="00086072"/>
    <w:rsid w:val="00087E65"/>
    <w:rsid w:val="00092191"/>
    <w:rsid w:val="00092E64"/>
    <w:rsid w:val="00095E6A"/>
    <w:rsid w:val="000A2A14"/>
    <w:rsid w:val="000A3044"/>
    <w:rsid w:val="000A365C"/>
    <w:rsid w:val="000A47FF"/>
    <w:rsid w:val="000B6D29"/>
    <w:rsid w:val="000C406D"/>
    <w:rsid w:val="000C48A0"/>
    <w:rsid w:val="000D0ABD"/>
    <w:rsid w:val="000D1EE9"/>
    <w:rsid w:val="000D3527"/>
    <w:rsid w:val="000D6CA9"/>
    <w:rsid w:val="000F09A4"/>
    <w:rsid w:val="000F3003"/>
    <w:rsid w:val="000F5D93"/>
    <w:rsid w:val="000F6B8B"/>
    <w:rsid w:val="00100A41"/>
    <w:rsid w:val="00102999"/>
    <w:rsid w:val="00103C62"/>
    <w:rsid w:val="00112FA4"/>
    <w:rsid w:val="001224C9"/>
    <w:rsid w:val="0012492B"/>
    <w:rsid w:val="00125DA6"/>
    <w:rsid w:val="0013068E"/>
    <w:rsid w:val="00130C91"/>
    <w:rsid w:val="001342BD"/>
    <w:rsid w:val="001344A7"/>
    <w:rsid w:val="001438E6"/>
    <w:rsid w:val="00146D69"/>
    <w:rsid w:val="00150A4D"/>
    <w:rsid w:val="00154397"/>
    <w:rsid w:val="00154578"/>
    <w:rsid w:val="001627F0"/>
    <w:rsid w:val="001642D1"/>
    <w:rsid w:val="00164538"/>
    <w:rsid w:val="00165223"/>
    <w:rsid w:val="00167F00"/>
    <w:rsid w:val="00175A10"/>
    <w:rsid w:val="0018305E"/>
    <w:rsid w:val="00183271"/>
    <w:rsid w:val="00185AD8"/>
    <w:rsid w:val="0018629C"/>
    <w:rsid w:val="00191E35"/>
    <w:rsid w:val="00191FBD"/>
    <w:rsid w:val="0019237F"/>
    <w:rsid w:val="001A41A9"/>
    <w:rsid w:val="001B0976"/>
    <w:rsid w:val="001B13A4"/>
    <w:rsid w:val="001C04B2"/>
    <w:rsid w:val="001C23D3"/>
    <w:rsid w:val="001C75A3"/>
    <w:rsid w:val="001C7767"/>
    <w:rsid w:val="001D1614"/>
    <w:rsid w:val="001D3071"/>
    <w:rsid w:val="001D31B7"/>
    <w:rsid w:val="001D506B"/>
    <w:rsid w:val="001D5DBC"/>
    <w:rsid w:val="001D6DF3"/>
    <w:rsid w:val="001E0AE7"/>
    <w:rsid w:val="001E206E"/>
    <w:rsid w:val="001E2F3A"/>
    <w:rsid w:val="001E35A2"/>
    <w:rsid w:val="001E4894"/>
    <w:rsid w:val="001E5C13"/>
    <w:rsid w:val="001E6103"/>
    <w:rsid w:val="001F1051"/>
    <w:rsid w:val="001F11FB"/>
    <w:rsid w:val="001F56FB"/>
    <w:rsid w:val="001F73F6"/>
    <w:rsid w:val="0020786D"/>
    <w:rsid w:val="00207D81"/>
    <w:rsid w:val="002110FB"/>
    <w:rsid w:val="002116DD"/>
    <w:rsid w:val="00215CB8"/>
    <w:rsid w:val="002272B4"/>
    <w:rsid w:val="00230091"/>
    <w:rsid w:val="002314C7"/>
    <w:rsid w:val="00236B85"/>
    <w:rsid w:val="002500C4"/>
    <w:rsid w:val="00251B37"/>
    <w:rsid w:val="00254B90"/>
    <w:rsid w:val="002557F0"/>
    <w:rsid w:val="00257977"/>
    <w:rsid w:val="002631AF"/>
    <w:rsid w:val="002702EE"/>
    <w:rsid w:val="00273D1E"/>
    <w:rsid w:val="00280978"/>
    <w:rsid w:val="00284E34"/>
    <w:rsid w:val="002900FE"/>
    <w:rsid w:val="002961B2"/>
    <w:rsid w:val="00296683"/>
    <w:rsid w:val="0029736A"/>
    <w:rsid w:val="002A255D"/>
    <w:rsid w:val="002A4BBA"/>
    <w:rsid w:val="002A506D"/>
    <w:rsid w:val="002A52FF"/>
    <w:rsid w:val="002B0DCA"/>
    <w:rsid w:val="002B60D7"/>
    <w:rsid w:val="002B66D4"/>
    <w:rsid w:val="002C6AF1"/>
    <w:rsid w:val="002D2AFD"/>
    <w:rsid w:val="002D5072"/>
    <w:rsid w:val="002D6CDF"/>
    <w:rsid w:val="002E0A6E"/>
    <w:rsid w:val="002E6FFF"/>
    <w:rsid w:val="002F0612"/>
    <w:rsid w:val="002F1E38"/>
    <w:rsid w:val="002F4628"/>
    <w:rsid w:val="002F4816"/>
    <w:rsid w:val="002F65F2"/>
    <w:rsid w:val="002F7745"/>
    <w:rsid w:val="0031713D"/>
    <w:rsid w:val="00317DEF"/>
    <w:rsid w:val="00321EC2"/>
    <w:rsid w:val="003231C3"/>
    <w:rsid w:val="00333ABD"/>
    <w:rsid w:val="00362094"/>
    <w:rsid w:val="003627AD"/>
    <w:rsid w:val="00362AF3"/>
    <w:rsid w:val="003755D7"/>
    <w:rsid w:val="00376973"/>
    <w:rsid w:val="003778EA"/>
    <w:rsid w:val="003817F1"/>
    <w:rsid w:val="003841AB"/>
    <w:rsid w:val="00385420"/>
    <w:rsid w:val="00387F6C"/>
    <w:rsid w:val="003907F2"/>
    <w:rsid w:val="0039331E"/>
    <w:rsid w:val="003A362E"/>
    <w:rsid w:val="003A5A72"/>
    <w:rsid w:val="003B1DB8"/>
    <w:rsid w:val="003B5AB2"/>
    <w:rsid w:val="003D229D"/>
    <w:rsid w:val="003D2431"/>
    <w:rsid w:val="003E59EE"/>
    <w:rsid w:val="003E5D4A"/>
    <w:rsid w:val="00402365"/>
    <w:rsid w:val="0040253C"/>
    <w:rsid w:val="00404C31"/>
    <w:rsid w:val="00414004"/>
    <w:rsid w:val="00421F76"/>
    <w:rsid w:val="00426E77"/>
    <w:rsid w:val="00430BAD"/>
    <w:rsid w:val="00434CB9"/>
    <w:rsid w:val="004408AD"/>
    <w:rsid w:val="00440F30"/>
    <w:rsid w:val="00442DBE"/>
    <w:rsid w:val="00444072"/>
    <w:rsid w:val="004470BB"/>
    <w:rsid w:val="00450159"/>
    <w:rsid w:val="004519CF"/>
    <w:rsid w:val="0045374E"/>
    <w:rsid w:val="00460083"/>
    <w:rsid w:val="00460C0E"/>
    <w:rsid w:val="00461378"/>
    <w:rsid w:val="00461FFA"/>
    <w:rsid w:val="004642CC"/>
    <w:rsid w:val="00471C0C"/>
    <w:rsid w:val="00472760"/>
    <w:rsid w:val="00483752"/>
    <w:rsid w:val="00485121"/>
    <w:rsid w:val="00490811"/>
    <w:rsid w:val="0049191F"/>
    <w:rsid w:val="00492F2D"/>
    <w:rsid w:val="00493134"/>
    <w:rsid w:val="00493B3D"/>
    <w:rsid w:val="004A21BE"/>
    <w:rsid w:val="004A6A5B"/>
    <w:rsid w:val="004B140E"/>
    <w:rsid w:val="004B30F1"/>
    <w:rsid w:val="004B497B"/>
    <w:rsid w:val="004B6DAD"/>
    <w:rsid w:val="004C00C2"/>
    <w:rsid w:val="004C1A75"/>
    <w:rsid w:val="004C68B4"/>
    <w:rsid w:val="004D11C8"/>
    <w:rsid w:val="004D49DB"/>
    <w:rsid w:val="004D5E1A"/>
    <w:rsid w:val="004E1466"/>
    <w:rsid w:val="004E3118"/>
    <w:rsid w:val="004E52AC"/>
    <w:rsid w:val="004F358E"/>
    <w:rsid w:val="004F69BD"/>
    <w:rsid w:val="0050185B"/>
    <w:rsid w:val="00513D1D"/>
    <w:rsid w:val="00522764"/>
    <w:rsid w:val="0052554B"/>
    <w:rsid w:val="005262D0"/>
    <w:rsid w:val="005268EF"/>
    <w:rsid w:val="0052712A"/>
    <w:rsid w:val="00527E21"/>
    <w:rsid w:val="005330FF"/>
    <w:rsid w:val="00555F8A"/>
    <w:rsid w:val="005601D8"/>
    <w:rsid w:val="00563E55"/>
    <w:rsid w:val="005715EC"/>
    <w:rsid w:val="005719F7"/>
    <w:rsid w:val="0057361C"/>
    <w:rsid w:val="00582DEF"/>
    <w:rsid w:val="0058537D"/>
    <w:rsid w:val="00585972"/>
    <w:rsid w:val="005875BA"/>
    <w:rsid w:val="005924E6"/>
    <w:rsid w:val="005A2577"/>
    <w:rsid w:val="005A4960"/>
    <w:rsid w:val="005A6CA5"/>
    <w:rsid w:val="005B4940"/>
    <w:rsid w:val="005C17A3"/>
    <w:rsid w:val="005C54CF"/>
    <w:rsid w:val="005C5506"/>
    <w:rsid w:val="005D3444"/>
    <w:rsid w:val="005D395A"/>
    <w:rsid w:val="005D55B3"/>
    <w:rsid w:val="005D6321"/>
    <w:rsid w:val="005D7CA6"/>
    <w:rsid w:val="005E4F65"/>
    <w:rsid w:val="005E50EE"/>
    <w:rsid w:val="005E575C"/>
    <w:rsid w:val="005E6FFB"/>
    <w:rsid w:val="005F2DE8"/>
    <w:rsid w:val="005F5853"/>
    <w:rsid w:val="00602256"/>
    <w:rsid w:val="0061261D"/>
    <w:rsid w:val="006158FF"/>
    <w:rsid w:val="00616A8C"/>
    <w:rsid w:val="00617E35"/>
    <w:rsid w:val="00624437"/>
    <w:rsid w:val="006257CD"/>
    <w:rsid w:val="006279EF"/>
    <w:rsid w:val="0064592F"/>
    <w:rsid w:val="00650DD1"/>
    <w:rsid w:val="00652CA6"/>
    <w:rsid w:val="00654C9F"/>
    <w:rsid w:val="006555E4"/>
    <w:rsid w:val="0066116E"/>
    <w:rsid w:val="0067127F"/>
    <w:rsid w:val="00672F2C"/>
    <w:rsid w:val="0067449B"/>
    <w:rsid w:val="00675212"/>
    <w:rsid w:val="006758CA"/>
    <w:rsid w:val="006804C6"/>
    <w:rsid w:val="006819A4"/>
    <w:rsid w:val="00681E64"/>
    <w:rsid w:val="00682250"/>
    <w:rsid w:val="00683254"/>
    <w:rsid w:val="006841E7"/>
    <w:rsid w:val="0068717D"/>
    <w:rsid w:val="0069360D"/>
    <w:rsid w:val="00694714"/>
    <w:rsid w:val="00694E7E"/>
    <w:rsid w:val="0069566D"/>
    <w:rsid w:val="006A0D46"/>
    <w:rsid w:val="006A45A1"/>
    <w:rsid w:val="006A5585"/>
    <w:rsid w:val="006B0659"/>
    <w:rsid w:val="006B20CA"/>
    <w:rsid w:val="006B52B5"/>
    <w:rsid w:val="006B6BC8"/>
    <w:rsid w:val="006C0016"/>
    <w:rsid w:val="006D2E5F"/>
    <w:rsid w:val="006D3934"/>
    <w:rsid w:val="006D6446"/>
    <w:rsid w:val="006D69B2"/>
    <w:rsid w:val="006D6B3D"/>
    <w:rsid w:val="006E4AB9"/>
    <w:rsid w:val="006E7F6E"/>
    <w:rsid w:val="006F27CB"/>
    <w:rsid w:val="006F2AC1"/>
    <w:rsid w:val="006F4708"/>
    <w:rsid w:val="006F53C3"/>
    <w:rsid w:val="006F7D93"/>
    <w:rsid w:val="006F7E20"/>
    <w:rsid w:val="0070564D"/>
    <w:rsid w:val="00712147"/>
    <w:rsid w:val="0071461D"/>
    <w:rsid w:val="00717D18"/>
    <w:rsid w:val="0073156E"/>
    <w:rsid w:val="007328D0"/>
    <w:rsid w:val="0073356B"/>
    <w:rsid w:val="00734427"/>
    <w:rsid w:val="0073762F"/>
    <w:rsid w:val="00737ADE"/>
    <w:rsid w:val="007475A0"/>
    <w:rsid w:val="007477DB"/>
    <w:rsid w:val="007518AD"/>
    <w:rsid w:val="00763ABE"/>
    <w:rsid w:val="00765B67"/>
    <w:rsid w:val="00771EB2"/>
    <w:rsid w:val="0077713F"/>
    <w:rsid w:val="007772D9"/>
    <w:rsid w:val="007806D8"/>
    <w:rsid w:val="00781514"/>
    <w:rsid w:val="0078723E"/>
    <w:rsid w:val="0078742F"/>
    <w:rsid w:val="00790738"/>
    <w:rsid w:val="0079145F"/>
    <w:rsid w:val="00791B3E"/>
    <w:rsid w:val="0079651C"/>
    <w:rsid w:val="007A0093"/>
    <w:rsid w:val="007A2787"/>
    <w:rsid w:val="007A73F4"/>
    <w:rsid w:val="007A7A87"/>
    <w:rsid w:val="007B1E56"/>
    <w:rsid w:val="007B3192"/>
    <w:rsid w:val="007B7CEB"/>
    <w:rsid w:val="007C1895"/>
    <w:rsid w:val="007C3F74"/>
    <w:rsid w:val="007C77C6"/>
    <w:rsid w:val="007D06E2"/>
    <w:rsid w:val="007E0918"/>
    <w:rsid w:val="007E269C"/>
    <w:rsid w:val="007E2F82"/>
    <w:rsid w:val="007E342E"/>
    <w:rsid w:val="007F2DF7"/>
    <w:rsid w:val="008007B9"/>
    <w:rsid w:val="00802C11"/>
    <w:rsid w:val="008050FD"/>
    <w:rsid w:val="00810C4A"/>
    <w:rsid w:val="0081190F"/>
    <w:rsid w:val="008127FD"/>
    <w:rsid w:val="00812B61"/>
    <w:rsid w:val="00812C03"/>
    <w:rsid w:val="00813DBE"/>
    <w:rsid w:val="00814C2C"/>
    <w:rsid w:val="0081635D"/>
    <w:rsid w:val="008221AC"/>
    <w:rsid w:val="00822AC5"/>
    <w:rsid w:val="00822C7F"/>
    <w:rsid w:val="00824AC6"/>
    <w:rsid w:val="00825E46"/>
    <w:rsid w:val="008276EF"/>
    <w:rsid w:val="00827BC2"/>
    <w:rsid w:val="00827FD7"/>
    <w:rsid w:val="0083292E"/>
    <w:rsid w:val="008373F7"/>
    <w:rsid w:val="00842E95"/>
    <w:rsid w:val="00846C4B"/>
    <w:rsid w:val="00850A00"/>
    <w:rsid w:val="00861436"/>
    <w:rsid w:val="008663B8"/>
    <w:rsid w:val="00867A8B"/>
    <w:rsid w:val="00871ED6"/>
    <w:rsid w:val="00874D19"/>
    <w:rsid w:val="00877CC0"/>
    <w:rsid w:val="0088102E"/>
    <w:rsid w:val="008856F1"/>
    <w:rsid w:val="00886391"/>
    <w:rsid w:val="00887BD4"/>
    <w:rsid w:val="00890A77"/>
    <w:rsid w:val="00890C23"/>
    <w:rsid w:val="00897446"/>
    <w:rsid w:val="00897FBF"/>
    <w:rsid w:val="008A1A08"/>
    <w:rsid w:val="008A3332"/>
    <w:rsid w:val="008A7CDC"/>
    <w:rsid w:val="008B381F"/>
    <w:rsid w:val="008B4AF1"/>
    <w:rsid w:val="008B4CB3"/>
    <w:rsid w:val="008B5913"/>
    <w:rsid w:val="008B760A"/>
    <w:rsid w:val="008C785E"/>
    <w:rsid w:val="008D0BBF"/>
    <w:rsid w:val="008D4FC4"/>
    <w:rsid w:val="008E0E83"/>
    <w:rsid w:val="008E3C25"/>
    <w:rsid w:val="008E3DA5"/>
    <w:rsid w:val="008F25F6"/>
    <w:rsid w:val="008F5E9D"/>
    <w:rsid w:val="008F6A71"/>
    <w:rsid w:val="00902ED2"/>
    <w:rsid w:val="00906BDC"/>
    <w:rsid w:val="00917B8A"/>
    <w:rsid w:val="0092227C"/>
    <w:rsid w:val="00926333"/>
    <w:rsid w:val="00940346"/>
    <w:rsid w:val="0094252B"/>
    <w:rsid w:val="00942D23"/>
    <w:rsid w:val="009457F9"/>
    <w:rsid w:val="00952AF4"/>
    <w:rsid w:val="0095610E"/>
    <w:rsid w:val="00960E55"/>
    <w:rsid w:val="0096154B"/>
    <w:rsid w:val="00980E7F"/>
    <w:rsid w:val="00983C21"/>
    <w:rsid w:val="00992EF1"/>
    <w:rsid w:val="00993B44"/>
    <w:rsid w:val="0099452A"/>
    <w:rsid w:val="009A33F3"/>
    <w:rsid w:val="009A3CCD"/>
    <w:rsid w:val="009B6D32"/>
    <w:rsid w:val="009C05D0"/>
    <w:rsid w:val="009C0659"/>
    <w:rsid w:val="009C4551"/>
    <w:rsid w:val="009C6DB7"/>
    <w:rsid w:val="009C6F15"/>
    <w:rsid w:val="009D081B"/>
    <w:rsid w:val="009D1FCD"/>
    <w:rsid w:val="009D2951"/>
    <w:rsid w:val="009D7477"/>
    <w:rsid w:val="009E0192"/>
    <w:rsid w:val="009E19CF"/>
    <w:rsid w:val="009E57F0"/>
    <w:rsid w:val="009E5CFB"/>
    <w:rsid w:val="009E6863"/>
    <w:rsid w:val="009F0297"/>
    <w:rsid w:val="009F0404"/>
    <w:rsid w:val="009F4424"/>
    <w:rsid w:val="00A006FD"/>
    <w:rsid w:val="00A04789"/>
    <w:rsid w:val="00A12660"/>
    <w:rsid w:val="00A16CDD"/>
    <w:rsid w:val="00A24ED7"/>
    <w:rsid w:val="00A254D2"/>
    <w:rsid w:val="00A3247A"/>
    <w:rsid w:val="00A339DA"/>
    <w:rsid w:val="00A45201"/>
    <w:rsid w:val="00A45DE5"/>
    <w:rsid w:val="00A54545"/>
    <w:rsid w:val="00A554E3"/>
    <w:rsid w:val="00A60D9D"/>
    <w:rsid w:val="00A800EF"/>
    <w:rsid w:val="00A810DF"/>
    <w:rsid w:val="00A82FB3"/>
    <w:rsid w:val="00A8369B"/>
    <w:rsid w:val="00A850B9"/>
    <w:rsid w:val="00A85C37"/>
    <w:rsid w:val="00A863EF"/>
    <w:rsid w:val="00A87880"/>
    <w:rsid w:val="00A92528"/>
    <w:rsid w:val="00A94588"/>
    <w:rsid w:val="00A949FE"/>
    <w:rsid w:val="00A96AF2"/>
    <w:rsid w:val="00AA1D39"/>
    <w:rsid w:val="00AA1F39"/>
    <w:rsid w:val="00AA4E86"/>
    <w:rsid w:val="00AA6F2A"/>
    <w:rsid w:val="00AB4128"/>
    <w:rsid w:val="00AC708F"/>
    <w:rsid w:val="00AC78C1"/>
    <w:rsid w:val="00AD2DDA"/>
    <w:rsid w:val="00AD352C"/>
    <w:rsid w:val="00AD6666"/>
    <w:rsid w:val="00AE0D8C"/>
    <w:rsid w:val="00AE107A"/>
    <w:rsid w:val="00AE4976"/>
    <w:rsid w:val="00AE4D31"/>
    <w:rsid w:val="00AF6DC4"/>
    <w:rsid w:val="00B14CE2"/>
    <w:rsid w:val="00B25393"/>
    <w:rsid w:val="00B31060"/>
    <w:rsid w:val="00B33681"/>
    <w:rsid w:val="00B35233"/>
    <w:rsid w:val="00B403F9"/>
    <w:rsid w:val="00B41E3B"/>
    <w:rsid w:val="00B43788"/>
    <w:rsid w:val="00B50E9E"/>
    <w:rsid w:val="00B50FBD"/>
    <w:rsid w:val="00B569D9"/>
    <w:rsid w:val="00B56BBE"/>
    <w:rsid w:val="00B654AB"/>
    <w:rsid w:val="00B657FF"/>
    <w:rsid w:val="00B65C93"/>
    <w:rsid w:val="00B665D8"/>
    <w:rsid w:val="00B70291"/>
    <w:rsid w:val="00B711FF"/>
    <w:rsid w:val="00B7573C"/>
    <w:rsid w:val="00B7678F"/>
    <w:rsid w:val="00B81006"/>
    <w:rsid w:val="00B84AFD"/>
    <w:rsid w:val="00B86BEE"/>
    <w:rsid w:val="00B86E25"/>
    <w:rsid w:val="00B9754F"/>
    <w:rsid w:val="00BA105A"/>
    <w:rsid w:val="00BA2E03"/>
    <w:rsid w:val="00BA3255"/>
    <w:rsid w:val="00BA77EA"/>
    <w:rsid w:val="00BC3F05"/>
    <w:rsid w:val="00BC4005"/>
    <w:rsid w:val="00BC4E22"/>
    <w:rsid w:val="00BC57A3"/>
    <w:rsid w:val="00BC72BD"/>
    <w:rsid w:val="00BC7A21"/>
    <w:rsid w:val="00BD21E9"/>
    <w:rsid w:val="00BE29F5"/>
    <w:rsid w:val="00BE2F58"/>
    <w:rsid w:val="00BE3F74"/>
    <w:rsid w:val="00BE47FB"/>
    <w:rsid w:val="00BE5EB2"/>
    <w:rsid w:val="00BE7171"/>
    <w:rsid w:val="00BE744A"/>
    <w:rsid w:val="00BF04D6"/>
    <w:rsid w:val="00BF6AF1"/>
    <w:rsid w:val="00C000C8"/>
    <w:rsid w:val="00C002E8"/>
    <w:rsid w:val="00C0040A"/>
    <w:rsid w:val="00C02C3B"/>
    <w:rsid w:val="00C1122D"/>
    <w:rsid w:val="00C26C26"/>
    <w:rsid w:val="00C26C5C"/>
    <w:rsid w:val="00C31717"/>
    <w:rsid w:val="00C32AC3"/>
    <w:rsid w:val="00C40E0F"/>
    <w:rsid w:val="00C50545"/>
    <w:rsid w:val="00C5167B"/>
    <w:rsid w:val="00C52072"/>
    <w:rsid w:val="00C55604"/>
    <w:rsid w:val="00C64E76"/>
    <w:rsid w:val="00C668B4"/>
    <w:rsid w:val="00C75B14"/>
    <w:rsid w:val="00C7638F"/>
    <w:rsid w:val="00C76E40"/>
    <w:rsid w:val="00C918BD"/>
    <w:rsid w:val="00C95D1C"/>
    <w:rsid w:val="00C9611F"/>
    <w:rsid w:val="00CA4943"/>
    <w:rsid w:val="00CB42D9"/>
    <w:rsid w:val="00CC692F"/>
    <w:rsid w:val="00CC6C12"/>
    <w:rsid w:val="00CD046F"/>
    <w:rsid w:val="00CD0B36"/>
    <w:rsid w:val="00CD49E9"/>
    <w:rsid w:val="00CE1030"/>
    <w:rsid w:val="00CE211D"/>
    <w:rsid w:val="00CE53B0"/>
    <w:rsid w:val="00CE7268"/>
    <w:rsid w:val="00CE79A7"/>
    <w:rsid w:val="00CF2FCD"/>
    <w:rsid w:val="00CF7AC2"/>
    <w:rsid w:val="00D07EBF"/>
    <w:rsid w:val="00D16877"/>
    <w:rsid w:val="00D1763C"/>
    <w:rsid w:val="00D24FD5"/>
    <w:rsid w:val="00D30A17"/>
    <w:rsid w:val="00D30DC3"/>
    <w:rsid w:val="00D40899"/>
    <w:rsid w:val="00D43BC5"/>
    <w:rsid w:val="00D5304E"/>
    <w:rsid w:val="00D53F52"/>
    <w:rsid w:val="00D54055"/>
    <w:rsid w:val="00D653C5"/>
    <w:rsid w:val="00D67FD8"/>
    <w:rsid w:val="00D73416"/>
    <w:rsid w:val="00D83478"/>
    <w:rsid w:val="00D8678F"/>
    <w:rsid w:val="00D93FB9"/>
    <w:rsid w:val="00D9776B"/>
    <w:rsid w:val="00DA4390"/>
    <w:rsid w:val="00DA5A22"/>
    <w:rsid w:val="00DA697C"/>
    <w:rsid w:val="00DB374C"/>
    <w:rsid w:val="00DB4937"/>
    <w:rsid w:val="00DB4B95"/>
    <w:rsid w:val="00DB5978"/>
    <w:rsid w:val="00DB7457"/>
    <w:rsid w:val="00DC1EC0"/>
    <w:rsid w:val="00DC2152"/>
    <w:rsid w:val="00DC2DF0"/>
    <w:rsid w:val="00DC4081"/>
    <w:rsid w:val="00DC5BB4"/>
    <w:rsid w:val="00DC5C39"/>
    <w:rsid w:val="00DD6C9F"/>
    <w:rsid w:val="00DE300D"/>
    <w:rsid w:val="00DE5F65"/>
    <w:rsid w:val="00DF22A3"/>
    <w:rsid w:val="00DF3000"/>
    <w:rsid w:val="00DF7031"/>
    <w:rsid w:val="00E05688"/>
    <w:rsid w:val="00E0611E"/>
    <w:rsid w:val="00E1042B"/>
    <w:rsid w:val="00E2378A"/>
    <w:rsid w:val="00E350EA"/>
    <w:rsid w:val="00E44285"/>
    <w:rsid w:val="00E45224"/>
    <w:rsid w:val="00E45994"/>
    <w:rsid w:val="00E51EBA"/>
    <w:rsid w:val="00E5367F"/>
    <w:rsid w:val="00E603C1"/>
    <w:rsid w:val="00E608E8"/>
    <w:rsid w:val="00E75CAE"/>
    <w:rsid w:val="00E80201"/>
    <w:rsid w:val="00E825BD"/>
    <w:rsid w:val="00E92541"/>
    <w:rsid w:val="00E926CC"/>
    <w:rsid w:val="00E938C2"/>
    <w:rsid w:val="00E95023"/>
    <w:rsid w:val="00E97215"/>
    <w:rsid w:val="00EA0CC2"/>
    <w:rsid w:val="00EB11C6"/>
    <w:rsid w:val="00EB7194"/>
    <w:rsid w:val="00EB74D9"/>
    <w:rsid w:val="00EC0AE2"/>
    <w:rsid w:val="00EC439F"/>
    <w:rsid w:val="00EC77B3"/>
    <w:rsid w:val="00ED02F8"/>
    <w:rsid w:val="00ED212F"/>
    <w:rsid w:val="00ED6E42"/>
    <w:rsid w:val="00ED7CD5"/>
    <w:rsid w:val="00EE3056"/>
    <w:rsid w:val="00EE3202"/>
    <w:rsid w:val="00EE772E"/>
    <w:rsid w:val="00EF351C"/>
    <w:rsid w:val="00F005CE"/>
    <w:rsid w:val="00F018F1"/>
    <w:rsid w:val="00F02ADC"/>
    <w:rsid w:val="00F054FE"/>
    <w:rsid w:val="00F07FC7"/>
    <w:rsid w:val="00F13B9E"/>
    <w:rsid w:val="00F15649"/>
    <w:rsid w:val="00F17B90"/>
    <w:rsid w:val="00F23287"/>
    <w:rsid w:val="00F24AAB"/>
    <w:rsid w:val="00F317BE"/>
    <w:rsid w:val="00F36FC7"/>
    <w:rsid w:val="00F40B90"/>
    <w:rsid w:val="00F43590"/>
    <w:rsid w:val="00F4573E"/>
    <w:rsid w:val="00F50629"/>
    <w:rsid w:val="00F51E34"/>
    <w:rsid w:val="00F6018F"/>
    <w:rsid w:val="00F662E9"/>
    <w:rsid w:val="00F75F97"/>
    <w:rsid w:val="00F81D56"/>
    <w:rsid w:val="00F85E41"/>
    <w:rsid w:val="00F903DC"/>
    <w:rsid w:val="00F92535"/>
    <w:rsid w:val="00F92DEB"/>
    <w:rsid w:val="00F95B25"/>
    <w:rsid w:val="00F96B68"/>
    <w:rsid w:val="00F971EE"/>
    <w:rsid w:val="00FA1508"/>
    <w:rsid w:val="00FA17F4"/>
    <w:rsid w:val="00FA749F"/>
    <w:rsid w:val="00FB01E0"/>
    <w:rsid w:val="00FB626E"/>
    <w:rsid w:val="00FB6CF3"/>
    <w:rsid w:val="00FB72A6"/>
    <w:rsid w:val="00FC2FC0"/>
    <w:rsid w:val="00FC5DCE"/>
    <w:rsid w:val="00FD7E36"/>
    <w:rsid w:val="00FF6F5C"/>
    <w:rsid w:val="00FF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F17B"/>
  <w15:chartTrackingRefBased/>
  <w15:docId w15:val="{6758ECAA-DBAD-4BD2-B14A-E29405E7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708"/>
  </w:style>
  <w:style w:type="paragraph" w:styleId="Heading1">
    <w:name w:val="heading 1"/>
    <w:basedOn w:val="Normal"/>
    <w:link w:val="Heading1Char"/>
    <w:uiPriority w:val="9"/>
    <w:qFormat/>
    <w:rsid w:val="00684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84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52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67A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708"/>
  </w:style>
  <w:style w:type="character" w:customStyle="1" w:styleId="Heading1Char">
    <w:name w:val="Heading 1 Char"/>
    <w:basedOn w:val="DefaultParagraphFont"/>
    <w:link w:val="Heading1"/>
    <w:uiPriority w:val="9"/>
    <w:rsid w:val="006841E7"/>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6841E7"/>
  </w:style>
  <w:style w:type="character" w:customStyle="1" w:styleId="Heading2Char">
    <w:name w:val="Heading 2 Char"/>
    <w:basedOn w:val="DefaultParagraphFont"/>
    <w:link w:val="Heading2"/>
    <w:uiPriority w:val="9"/>
    <w:semiHidden/>
    <w:rsid w:val="006841E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841E7"/>
    <w:rPr>
      <w:color w:val="0000FF"/>
      <w:u w:val="single"/>
    </w:rPr>
  </w:style>
  <w:style w:type="paragraph" w:styleId="BalloonText">
    <w:name w:val="Balloon Text"/>
    <w:basedOn w:val="Normal"/>
    <w:link w:val="BalloonTextChar"/>
    <w:uiPriority w:val="99"/>
    <w:semiHidden/>
    <w:unhideWhenUsed/>
    <w:rsid w:val="00747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A0"/>
    <w:rPr>
      <w:rFonts w:ascii="Segoe UI" w:hAnsi="Segoe UI" w:cs="Segoe UI"/>
      <w:sz w:val="18"/>
      <w:szCs w:val="18"/>
    </w:rPr>
  </w:style>
  <w:style w:type="character" w:customStyle="1" w:styleId="A7">
    <w:name w:val="A7"/>
    <w:uiPriority w:val="99"/>
    <w:rsid w:val="007475A0"/>
    <w:rPr>
      <w:rFonts w:cs="Calibri"/>
      <w:color w:val="000000"/>
      <w:sz w:val="22"/>
      <w:szCs w:val="22"/>
    </w:rPr>
  </w:style>
  <w:style w:type="paragraph" w:styleId="ListParagraph">
    <w:name w:val="List Paragraph"/>
    <w:basedOn w:val="Normal"/>
    <w:uiPriority w:val="34"/>
    <w:qFormat/>
    <w:rsid w:val="001E35A2"/>
    <w:pPr>
      <w:ind w:left="720"/>
      <w:contextualSpacing/>
    </w:pPr>
    <w:rPr>
      <w:lang w:val="en-US"/>
    </w:rPr>
  </w:style>
  <w:style w:type="table" w:styleId="TableGrid">
    <w:name w:val="Table Grid"/>
    <w:basedOn w:val="TableNormal"/>
    <w:uiPriority w:val="39"/>
    <w:rsid w:val="0043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6333"/>
    <w:rPr>
      <w:color w:val="605E5C"/>
      <w:shd w:val="clear" w:color="auto" w:fill="E1DFDD"/>
    </w:rPr>
  </w:style>
  <w:style w:type="paragraph" w:styleId="Header">
    <w:name w:val="header"/>
    <w:basedOn w:val="Normal"/>
    <w:link w:val="HeaderChar"/>
    <w:uiPriority w:val="99"/>
    <w:unhideWhenUsed/>
    <w:rsid w:val="00007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080"/>
  </w:style>
  <w:style w:type="paragraph" w:styleId="FootnoteText">
    <w:name w:val="footnote text"/>
    <w:basedOn w:val="Normal"/>
    <w:link w:val="FootnoteTextChar"/>
    <w:uiPriority w:val="99"/>
    <w:unhideWhenUsed/>
    <w:rsid w:val="009F0404"/>
    <w:pPr>
      <w:spacing w:after="0" w:line="240" w:lineRule="auto"/>
    </w:pPr>
    <w:rPr>
      <w:sz w:val="20"/>
      <w:szCs w:val="20"/>
    </w:rPr>
  </w:style>
  <w:style w:type="character" w:customStyle="1" w:styleId="FootnoteTextChar">
    <w:name w:val="Footnote Text Char"/>
    <w:basedOn w:val="DefaultParagraphFont"/>
    <w:link w:val="FootnoteText"/>
    <w:uiPriority w:val="99"/>
    <w:rsid w:val="009F0404"/>
    <w:rPr>
      <w:sz w:val="20"/>
      <w:szCs w:val="20"/>
    </w:rPr>
  </w:style>
  <w:style w:type="character" w:styleId="FootnoteReference">
    <w:name w:val="footnote reference"/>
    <w:basedOn w:val="DefaultParagraphFont"/>
    <w:uiPriority w:val="99"/>
    <w:semiHidden/>
    <w:unhideWhenUsed/>
    <w:rsid w:val="009F0404"/>
    <w:rPr>
      <w:vertAlign w:val="superscript"/>
    </w:rPr>
  </w:style>
  <w:style w:type="character" w:customStyle="1" w:styleId="sr-only">
    <w:name w:val="sr-only"/>
    <w:basedOn w:val="DefaultParagraphFont"/>
    <w:rsid w:val="00EB11C6"/>
  </w:style>
  <w:style w:type="character" w:customStyle="1" w:styleId="text">
    <w:name w:val="text"/>
    <w:basedOn w:val="DefaultParagraphFont"/>
    <w:rsid w:val="00EB11C6"/>
  </w:style>
  <w:style w:type="character" w:customStyle="1" w:styleId="author-ref">
    <w:name w:val="author-ref"/>
    <w:basedOn w:val="DefaultParagraphFont"/>
    <w:rsid w:val="00EB11C6"/>
  </w:style>
  <w:style w:type="character" w:styleId="Strong">
    <w:name w:val="Strong"/>
    <w:basedOn w:val="DefaultParagraphFont"/>
    <w:uiPriority w:val="22"/>
    <w:qFormat/>
    <w:rsid w:val="005D7CA6"/>
    <w:rPr>
      <w:b/>
      <w:bCs/>
    </w:rPr>
  </w:style>
  <w:style w:type="character" w:styleId="FollowedHyperlink">
    <w:name w:val="FollowedHyperlink"/>
    <w:basedOn w:val="DefaultParagraphFont"/>
    <w:uiPriority w:val="99"/>
    <w:semiHidden/>
    <w:unhideWhenUsed/>
    <w:rsid w:val="00867A8B"/>
    <w:rPr>
      <w:color w:val="954F72" w:themeColor="followedHyperlink"/>
      <w:u w:val="single"/>
    </w:rPr>
  </w:style>
  <w:style w:type="character" w:customStyle="1" w:styleId="Heading4Char">
    <w:name w:val="Heading 4 Char"/>
    <w:basedOn w:val="DefaultParagraphFont"/>
    <w:link w:val="Heading4"/>
    <w:uiPriority w:val="9"/>
    <w:rsid w:val="00867A8B"/>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EE772E"/>
    <w:rPr>
      <w:i/>
      <w:iCs/>
    </w:rPr>
  </w:style>
  <w:style w:type="character" w:customStyle="1" w:styleId="Heading3Char">
    <w:name w:val="Heading 3 Char"/>
    <w:basedOn w:val="DefaultParagraphFont"/>
    <w:link w:val="Heading3"/>
    <w:uiPriority w:val="9"/>
    <w:semiHidden/>
    <w:rsid w:val="00165223"/>
    <w:rPr>
      <w:rFonts w:asciiTheme="majorHAnsi" w:eastAsiaTheme="majorEastAsia" w:hAnsiTheme="majorHAnsi" w:cstheme="majorBidi"/>
      <w:color w:val="1F3763" w:themeColor="accent1" w:themeShade="7F"/>
      <w:sz w:val="24"/>
      <w:szCs w:val="24"/>
    </w:rPr>
  </w:style>
  <w:style w:type="character" w:customStyle="1" w:styleId="st">
    <w:name w:val="st"/>
    <w:basedOn w:val="DefaultParagraphFont"/>
    <w:rsid w:val="00165223"/>
  </w:style>
  <w:style w:type="character" w:customStyle="1" w:styleId="j-title-breadcrumb">
    <w:name w:val="j-title-breadcrumb"/>
    <w:basedOn w:val="DefaultParagraphFont"/>
    <w:rsid w:val="00F018F1"/>
  </w:style>
  <w:style w:type="paragraph" w:styleId="Title">
    <w:name w:val="Title"/>
    <w:basedOn w:val="Normal"/>
    <w:link w:val="TitleChar"/>
    <w:qFormat/>
    <w:rsid w:val="00C5167B"/>
    <w:pPr>
      <w:spacing w:after="0" w:line="240" w:lineRule="auto"/>
      <w:ind w:firstLine="907"/>
      <w:jc w:val="center"/>
    </w:pPr>
    <w:rPr>
      <w:rFonts w:ascii="Gill Sans MT" w:eastAsia="Times New Roman" w:hAnsi="Gill Sans MT" w:cs="Times New Roman"/>
      <w:b/>
      <w:bCs/>
      <w:sz w:val="24"/>
      <w:szCs w:val="24"/>
      <w:lang w:val="en-US"/>
    </w:rPr>
  </w:style>
  <w:style w:type="character" w:customStyle="1" w:styleId="TitleChar">
    <w:name w:val="Title Char"/>
    <w:basedOn w:val="DefaultParagraphFont"/>
    <w:link w:val="Title"/>
    <w:rsid w:val="00C5167B"/>
    <w:rPr>
      <w:rFonts w:ascii="Gill Sans MT" w:eastAsia="Times New Roman" w:hAnsi="Gill Sans MT"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6430">
      <w:bodyDiv w:val="1"/>
      <w:marLeft w:val="0"/>
      <w:marRight w:val="0"/>
      <w:marTop w:val="0"/>
      <w:marBottom w:val="0"/>
      <w:divBdr>
        <w:top w:val="none" w:sz="0" w:space="0" w:color="auto"/>
        <w:left w:val="none" w:sz="0" w:space="0" w:color="auto"/>
        <w:bottom w:val="none" w:sz="0" w:space="0" w:color="auto"/>
        <w:right w:val="none" w:sz="0" w:space="0" w:color="auto"/>
      </w:divBdr>
    </w:div>
    <w:div w:id="77102285">
      <w:bodyDiv w:val="1"/>
      <w:marLeft w:val="0"/>
      <w:marRight w:val="0"/>
      <w:marTop w:val="0"/>
      <w:marBottom w:val="0"/>
      <w:divBdr>
        <w:top w:val="none" w:sz="0" w:space="0" w:color="auto"/>
        <w:left w:val="none" w:sz="0" w:space="0" w:color="auto"/>
        <w:bottom w:val="none" w:sz="0" w:space="0" w:color="auto"/>
        <w:right w:val="none" w:sz="0" w:space="0" w:color="auto"/>
      </w:divBdr>
      <w:divsChild>
        <w:div w:id="104229018">
          <w:marLeft w:val="0"/>
          <w:marRight w:val="0"/>
          <w:marTop w:val="0"/>
          <w:marBottom w:val="120"/>
          <w:divBdr>
            <w:top w:val="none" w:sz="0" w:space="0" w:color="auto"/>
            <w:left w:val="none" w:sz="0" w:space="0" w:color="auto"/>
            <w:bottom w:val="none" w:sz="0" w:space="0" w:color="auto"/>
            <w:right w:val="none" w:sz="0" w:space="0" w:color="auto"/>
          </w:divBdr>
          <w:divsChild>
            <w:div w:id="1731149171">
              <w:marLeft w:val="0"/>
              <w:marRight w:val="0"/>
              <w:marTop w:val="0"/>
              <w:marBottom w:val="0"/>
              <w:divBdr>
                <w:top w:val="none" w:sz="0" w:space="0" w:color="auto"/>
                <w:left w:val="none" w:sz="0" w:space="0" w:color="auto"/>
                <w:bottom w:val="none" w:sz="0" w:space="0" w:color="auto"/>
                <w:right w:val="none" w:sz="0" w:space="0" w:color="auto"/>
              </w:divBdr>
              <w:divsChild>
                <w:div w:id="1493837152">
                  <w:marLeft w:val="0"/>
                  <w:marRight w:val="0"/>
                  <w:marTop w:val="0"/>
                  <w:marBottom w:val="0"/>
                  <w:divBdr>
                    <w:top w:val="none" w:sz="0" w:space="0" w:color="auto"/>
                    <w:left w:val="none" w:sz="0" w:space="0" w:color="auto"/>
                    <w:bottom w:val="none" w:sz="0" w:space="0" w:color="auto"/>
                    <w:right w:val="none" w:sz="0" w:space="0" w:color="auto"/>
                  </w:divBdr>
                  <w:divsChild>
                    <w:div w:id="13265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5454">
      <w:bodyDiv w:val="1"/>
      <w:marLeft w:val="0"/>
      <w:marRight w:val="0"/>
      <w:marTop w:val="0"/>
      <w:marBottom w:val="0"/>
      <w:divBdr>
        <w:top w:val="none" w:sz="0" w:space="0" w:color="auto"/>
        <w:left w:val="none" w:sz="0" w:space="0" w:color="auto"/>
        <w:bottom w:val="none" w:sz="0" w:space="0" w:color="auto"/>
        <w:right w:val="none" w:sz="0" w:space="0" w:color="auto"/>
      </w:divBdr>
      <w:divsChild>
        <w:div w:id="695544942">
          <w:marLeft w:val="0"/>
          <w:marRight w:val="0"/>
          <w:marTop w:val="0"/>
          <w:marBottom w:val="120"/>
          <w:divBdr>
            <w:top w:val="none" w:sz="0" w:space="0" w:color="auto"/>
            <w:left w:val="none" w:sz="0" w:space="0" w:color="auto"/>
            <w:bottom w:val="single" w:sz="12" w:space="9" w:color="EBEBEB"/>
            <w:right w:val="none" w:sz="0" w:space="0" w:color="auto"/>
          </w:divBdr>
          <w:divsChild>
            <w:div w:id="299845818">
              <w:marLeft w:val="0"/>
              <w:marRight w:val="0"/>
              <w:marTop w:val="100"/>
              <w:marBottom w:val="100"/>
              <w:divBdr>
                <w:top w:val="none" w:sz="0" w:space="0" w:color="auto"/>
                <w:left w:val="none" w:sz="0" w:space="0" w:color="auto"/>
                <w:bottom w:val="none" w:sz="0" w:space="0" w:color="auto"/>
                <w:right w:val="none" w:sz="0" w:space="0" w:color="auto"/>
              </w:divBdr>
              <w:divsChild>
                <w:div w:id="6546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3298">
      <w:bodyDiv w:val="1"/>
      <w:marLeft w:val="0"/>
      <w:marRight w:val="0"/>
      <w:marTop w:val="0"/>
      <w:marBottom w:val="0"/>
      <w:divBdr>
        <w:top w:val="none" w:sz="0" w:space="0" w:color="auto"/>
        <w:left w:val="none" w:sz="0" w:space="0" w:color="auto"/>
        <w:bottom w:val="none" w:sz="0" w:space="0" w:color="auto"/>
        <w:right w:val="none" w:sz="0" w:space="0" w:color="auto"/>
      </w:divBdr>
    </w:div>
    <w:div w:id="433595769">
      <w:bodyDiv w:val="1"/>
      <w:marLeft w:val="0"/>
      <w:marRight w:val="0"/>
      <w:marTop w:val="0"/>
      <w:marBottom w:val="0"/>
      <w:divBdr>
        <w:top w:val="none" w:sz="0" w:space="0" w:color="auto"/>
        <w:left w:val="none" w:sz="0" w:space="0" w:color="auto"/>
        <w:bottom w:val="none" w:sz="0" w:space="0" w:color="auto"/>
        <w:right w:val="none" w:sz="0" w:space="0" w:color="auto"/>
      </w:divBdr>
    </w:div>
    <w:div w:id="520968845">
      <w:bodyDiv w:val="1"/>
      <w:marLeft w:val="0"/>
      <w:marRight w:val="0"/>
      <w:marTop w:val="0"/>
      <w:marBottom w:val="0"/>
      <w:divBdr>
        <w:top w:val="none" w:sz="0" w:space="0" w:color="auto"/>
        <w:left w:val="none" w:sz="0" w:space="0" w:color="auto"/>
        <w:bottom w:val="none" w:sz="0" w:space="0" w:color="auto"/>
        <w:right w:val="none" w:sz="0" w:space="0" w:color="auto"/>
      </w:divBdr>
    </w:div>
    <w:div w:id="845095607">
      <w:bodyDiv w:val="1"/>
      <w:marLeft w:val="0"/>
      <w:marRight w:val="0"/>
      <w:marTop w:val="0"/>
      <w:marBottom w:val="0"/>
      <w:divBdr>
        <w:top w:val="none" w:sz="0" w:space="0" w:color="auto"/>
        <w:left w:val="none" w:sz="0" w:space="0" w:color="auto"/>
        <w:bottom w:val="none" w:sz="0" w:space="0" w:color="auto"/>
        <w:right w:val="none" w:sz="0" w:space="0" w:color="auto"/>
      </w:divBdr>
      <w:divsChild>
        <w:div w:id="865750954">
          <w:marLeft w:val="0"/>
          <w:marRight w:val="0"/>
          <w:marTop w:val="0"/>
          <w:marBottom w:val="120"/>
          <w:divBdr>
            <w:top w:val="none" w:sz="0" w:space="0" w:color="auto"/>
            <w:left w:val="none" w:sz="0" w:space="0" w:color="auto"/>
            <w:bottom w:val="single" w:sz="12" w:space="9" w:color="EBEBEB"/>
            <w:right w:val="none" w:sz="0" w:space="0" w:color="auto"/>
          </w:divBdr>
          <w:divsChild>
            <w:div w:id="1630933558">
              <w:marLeft w:val="0"/>
              <w:marRight w:val="0"/>
              <w:marTop w:val="100"/>
              <w:marBottom w:val="100"/>
              <w:divBdr>
                <w:top w:val="none" w:sz="0" w:space="0" w:color="auto"/>
                <w:left w:val="none" w:sz="0" w:space="0" w:color="auto"/>
                <w:bottom w:val="none" w:sz="0" w:space="0" w:color="auto"/>
                <w:right w:val="none" w:sz="0" w:space="0" w:color="auto"/>
              </w:divBdr>
              <w:divsChild>
                <w:div w:id="19930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085">
          <w:marLeft w:val="0"/>
          <w:marRight w:val="0"/>
          <w:marTop w:val="0"/>
          <w:marBottom w:val="120"/>
          <w:divBdr>
            <w:top w:val="none" w:sz="0" w:space="0" w:color="auto"/>
            <w:left w:val="none" w:sz="0" w:space="0" w:color="auto"/>
            <w:bottom w:val="none" w:sz="0" w:space="0" w:color="auto"/>
            <w:right w:val="none" w:sz="0" w:space="0" w:color="auto"/>
          </w:divBdr>
          <w:divsChild>
            <w:div w:id="1244022952">
              <w:marLeft w:val="0"/>
              <w:marRight w:val="0"/>
              <w:marTop w:val="0"/>
              <w:marBottom w:val="0"/>
              <w:divBdr>
                <w:top w:val="none" w:sz="0" w:space="0" w:color="auto"/>
                <w:left w:val="none" w:sz="0" w:space="0" w:color="auto"/>
                <w:bottom w:val="none" w:sz="0" w:space="0" w:color="auto"/>
                <w:right w:val="none" w:sz="0" w:space="0" w:color="auto"/>
              </w:divBdr>
              <w:divsChild>
                <w:div w:id="1650480713">
                  <w:marLeft w:val="0"/>
                  <w:marRight w:val="0"/>
                  <w:marTop w:val="0"/>
                  <w:marBottom w:val="0"/>
                  <w:divBdr>
                    <w:top w:val="none" w:sz="0" w:space="0" w:color="auto"/>
                    <w:left w:val="none" w:sz="0" w:space="0" w:color="auto"/>
                    <w:bottom w:val="none" w:sz="0" w:space="0" w:color="auto"/>
                    <w:right w:val="none" w:sz="0" w:space="0" w:color="auto"/>
                  </w:divBdr>
                  <w:divsChild>
                    <w:div w:id="1361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9912">
      <w:bodyDiv w:val="1"/>
      <w:marLeft w:val="0"/>
      <w:marRight w:val="0"/>
      <w:marTop w:val="0"/>
      <w:marBottom w:val="0"/>
      <w:divBdr>
        <w:top w:val="none" w:sz="0" w:space="0" w:color="auto"/>
        <w:left w:val="none" w:sz="0" w:space="0" w:color="auto"/>
        <w:bottom w:val="none" w:sz="0" w:space="0" w:color="auto"/>
        <w:right w:val="none" w:sz="0" w:space="0" w:color="auto"/>
      </w:divBdr>
    </w:div>
    <w:div w:id="1000431898">
      <w:bodyDiv w:val="1"/>
      <w:marLeft w:val="0"/>
      <w:marRight w:val="0"/>
      <w:marTop w:val="0"/>
      <w:marBottom w:val="0"/>
      <w:divBdr>
        <w:top w:val="none" w:sz="0" w:space="0" w:color="auto"/>
        <w:left w:val="none" w:sz="0" w:space="0" w:color="auto"/>
        <w:bottom w:val="none" w:sz="0" w:space="0" w:color="auto"/>
        <w:right w:val="none" w:sz="0" w:space="0" w:color="auto"/>
      </w:divBdr>
    </w:div>
    <w:div w:id="1148475762">
      <w:bodyDiv w:val="1"/>
      <w:marLeft w:val="0"/>
      <w:marRight w:val="0"/>
      <w:marTop w:val="0"/>
      <w:marBottom w:val="0"/>
      <w:divBdr>
        <w:top w:val="none" w:sz="0" w:space="0" w:color="auto"/>
        <w:left w:val="none" w:sz="0" w:space="0" w:color="auto"/>
        <w:bottom w:val="none" w:sz="0" w:space="0" w:color="auto"/>
        <w:right w:val="none" w:sz="0" w:space="0" w:color="auto"/>
      </w:divBdr>
      <w:divsChild>
        <w:div w:id="807433627">
          <w:marLeft w:val="0"/>
          <w:marRight w:val="0"/>
          <w:marTop w:val="0"/>
          <w:marBottom w:val="120"/>
          <w:divBdr>
            <w:top w:val="none" w:sz="0" w:space="0" w:color="auto"/>
            <w:left w:val="none" w:sz="0" w:space="0" w:color="auto"/>
            <w:bottom w:val="single" w:sz="12" w:space="9" w:color="EBEBEB"/>
            <w:right w:val="none" w:sz="0" w:space="0" w:color="auto"/>
          </w:divBdr>
          <w:divsChild>
            <w:div w:id="229996674">
              <w:marLeft w:val="0"/>
              <w:marRight w:val="0"/>
              <w:marTop w:val="100"/>
              <w:marBottom w:val="100"/>
              <w:divBdr>
                <w:top w:val="none" w:sz="0" w:space="0" w:color="auto"/>
                <w:left w:val="none" w:sz="0" w:space="0" w:color="auto"/>
                <w:bottom w:val="none" w:sz="0" w:space="0" w:color="auto"/>
                <w:right w:val="none" w:sz="0" w:space="0" w:color="auto"/>
              </w:divBdr>
              <w:divsChild>
                <w:div w:id="17346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1317">
          <w:marLeft w:val="0"/>
          <w:marRight w:val="0"/>
          <w:marTop w:val="0"/>
          <w:marBottom w:val="120"/>
          <w:divBdr>
            <w:top w:val="none" w:sz="0" w:space="0" w:color="auto"/>
            <w:left w:val="none" w:sz="0" w:space="0" w:color="auto"/>
            <w:bottom w:val="none" w:sz="0" w:space="0" w:color="auto"/>
            <w:right w:val="none" w:sz="0" w:space="0" w:color="auto"/>
          </w:divBdr>
          <w:divsChild>
            <w:div w:id="107361365">
              <w:marLeft w:val="0"/>
              <w:marRight w:val="0"/>
              <w:marTop w:val="0"/>
              <w:marBottom w:val="0"/>
              <w:divBdr>
                <w:top w:val="none" w:sz="0" w:space="0" w:color="auto"/>
                <w:left w:val="none" w:sz="0" w:space="0" w:color="auto"/>
                <w:bottom w:val="none" w:sz="0" w:space="0" w:color="auto"/>
                <w:right w:val="none" w:sz="0" w:space="0" w:color="auto"/>
              </w:divBdr>
              <w:divsChild>
                <w:div w:id="629483683">
                  <w:marLeft w:val="0"/>
                  <w:marRight w:val="0"/>
                  <w:marTop w:val="0"/>
                  <w:marBottom w:val="0"/>
                  <w:divBdr>
                    <w:top w:val="none" w:sz="0" w:space="0" w:color="auto"/>
                    <w:left w:val="none" w:sz="0" w:space="0" w:color="auto"/>
                    <w:bottom w:val="none" w:sz="0" w:space="0" w:color="auto"/>
                    <w:right w:val="none" w:sz="0" w:space="0" w:color="auto"/>
                  </w:divBdr>
                  <w:divsChild>
                    <w:div w:id="16584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3933">
      <w:bodyDiv w:val="1"/>
      <w:marLeft w:val="0"/>
      <w:marRight w:val="0"/>
      <w:marTop w:val="0"/>
      <w:marBottom w:val="0"/>
      <w:divBdr>
        <w:top w:val="none" w:sz="0" w:space="0" w:color="auto"/>
        <w:left w:val="none" w:sz="0" w:space="0" w:color="auto"/>
        <w:bottom w:val="none" w:sz="0" w:space="0" w:color="auto"/>
        <w:right w:val="none" w:sz="0" w:space="0" w:color="auto"/>
      </w:divBdr>
      <w:divsChild>
        <w:div w:id="1748844210">
          <w:marLeft w:val="0"/>
          <w:marRight w:val="0"/>
          <w:marTop w:val="0"/>
          <w:marBottom w:val="0"/>
          <w:divBdr>
            <w:top w:val="none" w:sz="0" w:space="0" w:color="auto"/>
            <w:left w:val="none" w:sz="0" w:space="0" w:color="auto"/>
            <w:bottom w:val="none" w:sz="0" w:space="0" w:color="auto"/>
            <w:right w:val="none" w:sz="0" w:space="0" w:color="auto"/>
          </w:divBdr>
        </w:div>
      </w:divsChild>
    </w:div>
    <w:div w:id="1716616585">
      <w:bodyDiv w:val="1"/>
      <w:marLeft w:val="0"/>
      <w:marRight w:val="0"/>
      <w:marTop w:val="0"/>
      <w:marBottom w:val="0"/>
      <w:divBdr>
        <w:top w:val="none" w:sz="0" w:space="0" w:color="auto"/>
        <w:left w:val="none" w:sz="0" w:space="0" w:color="auto"/>
        <w:bottom w:val="none" w:sz="0" w:space="0" w:color="auto"/>
        <w:right w:val="none" w:sz="0" w:space="0" w:color="auto"/>
      </w:divBdr>
    </w:div>
    <w:div w:id="1775634626">
      <w:bodyDiv w:val="1"/>
      <w:marLeft w:val="0"/>
      <w:marRight w:val="0"/>
      <w:marTop w:val="0"/>
      <w:marBottom w:val="0"/>
      <w:divBdr>
        <w:top w:val="none" w:sz="0" w:space="0" w:color="auto"/>
        <w:left w:val="none" w:sz="0" w:space="0" w:color="auto"/>
        <w:bottom w:val="none" w:sz="0" w:space="0" w:color="auto"/>
        <w:right w:val="none" w:sz="0" w:space="0" w:color="auto"/>
      </w:divBdr>
    </w:div>
    <w:div w:id="1778477496">
      <w:bodyDiv w:val="1"/>
      <w:marLeft w:val="0"/>
      <w:marRight w:val="0"/>
      <w:marTop w:val="0"/>
      <w:marBottom w:val="0"/>
      <w:divBdr>
        <w:top w:val="none" w:sz="0" w:space="0" w:color="auto"/>
        <w:left w:val="none" w:sz="0" w:space="0" w:color="auto"/>
        <w:bottom w:val="none" w:sz="0" w:space="0" w:color="auto"/>
        <w:right w:val="none" w:sz="0" w:space="0" w:color="auto"/>
      </w:divBdr>
    </w:div>
    <w:div w:id="1834643845">
      <w:bodyDiv w:val="1"/>
      <w:marLeft w:val="0"/>
      <w:marRight w:val="0"/>
      <w:marTop w:val="0"/>
      <w:marBottom w:val="0"/>
      <w:divBdr>
        <w:top w:val="none" w:sz="0" w:space="0" w:color="auto"/>
        <w:left w:val="none" w:sz="0" w:space="0" w:color="auto"/>
        <w:bottom w:val="none" w:sz="0" w:space="0" w:color="auto"/>
        <w:right w:val="none" w:sz="0" w:space="0" w:color="auto"/>
      </w:divBdr>
    </w:div>
    <w:div w:id="19612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472999/Conceptual-Framework-Agriculture2.pdf" TargetMode="External"/><Relationship Id="rId18" Type="http://schemas.openxmlformats.org/officeDocument/2006/relationships/hyperlink" Target="https://massp.ifpri.info/2018/10/09/scaling-up-agriculture-technologies-in-malawi-a-study-of-approaches-used-by-agriculture-research-and-development-organiza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iencedirect-com.ezproxy.lib.gla.ac.uk/science/journal/03069192" TargetMode="External"/><Relationship Id="rId7" Type="http://schemas.openxmlformats.org/officeDocument/2006/relationships/endnotes" Target="endnotes.xml"/><Relationship Id="rId12" Type="http://schemas.openxmlformats.org/officeDocument/2006/relationships/hyperlink" Target="https://www.sciencedirect.com/science/journal/02648377" TargetMode="External"/><Relationship Id="rId17" Type="http://schemas.openxmlformats.org/officeDocument/2006/relationships/hyperlink" Target="https://www.slideshare.net/ICRISATESA/assessing-impacts-of-icrisat-behaviour-change-nutrition-activities-in-kenya?qid=6941d88a-96cc-4528-b5cb-6030974cc3ba&amp;v=&amp;b=&amp;from_search=4" TargetMode="External"/><Relationship Id="rId25" Type="http://schemas.openxmlformats.org/officeDocument/2006/relationships/hyperlink" Target="https://faraafrica.org/wp-content/uploads/2018/02/STRATEGIES-FOR-SCALING-AGRICULTURAL-TECHNOLOGIES-IN-AFRICA.pdf" TargetMode="External"/><Relationship Id="rId2" Type="http://schemas.openxmlformats.org/officeDocument/2006/relationships/numbering" Target="numbering.xml"/><Relationship Id="rId16" Type="http://schemas.openxmlformats.org/officeDocument/2006/relationships/hyperlink" Target="https://www.icrisat.org/millets-sorghum-and-grain-legumes-the-smart-foods-of-the-future/" TargetMode="External"/><Relationship Id="rId20" Type="http://schemas.openxmlformats.org/officeDocument/2006/relationships/hyperlink" Target="https://www.syngentafoundation.org/seeds2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wnloads/CGIAR%20Strategy%20and%20Results%20Framework.pdf" TargetMode="External"/><Relationship Id="rId24" Type="http://schemas.openxmlformats.org/officeDocument/2006/relationships/hyperlink" Target="https://www.syngentafoundation.org/seeds2b" TargetMode="External"/><Relationship Id="rId5" Type="http://schemas.openxmlformats.org/officeDocument/2006/relationships/webSettings" Target="webSettings.xml"/><Relationship Id="rId15" Type="http://schemas.openxmlformats.org/officeDocument/2006/relationships/hyperlink" Target="https://massp.ifpri.info/2018/03/16/what-does-it-take-to-scale-agricultural-technologies-in-malawi/" TargetMode="External"/><Relationship Id="rId23" Type="http://schemas.openxmlformats.org/officeDocument/2006/relationships/hyperlink" Target="http://valuelinks.org/wp-content/uploads/2015/09/ValueLinks-Manual-2.0-Vol-1-final-draft-July-2017.pdf" TargetMode="External"/><Relationship Id="rId28" Type="http://schemas.openxmlformats.org/officeDocument/2006/relationships/theme" Target="theme/theme1.xml"/><Relationship Id="rId10" Type="http://schemas.openxmlformats.org/officeDocument/2006/relationships/hyperlink" Target="https://papers.ssrn.com/sol3/papers.cfm?abstract_id=2736850" TargetMode="External"/><Relationship Id="rId19" Type="http://schemas.openxmlformats.org/officeDocument/2006/relationships/hyperlink" Target="http://www.rtb.cgiar.org/gender-breeding-initiative" TargetMode="External"/><Relationship Id="rId4" Type="http://schemas.openxmlformats.org/officeDocument/2006/relationships/settings" Target="settings.xml"/><Relationship Id="rId9" Type="http://schemas.openxmlformats.org/officeDocument/2006/relationships/hyperlink" Target="https://www.sciencedirect.com/science/journal/0308521X" TargetMode="External"/><Relationship Id="rId14" Type="http://schemas.openxmlformats.org/officeDocument/2006/relationships/hyperlink" Target="https://www.sciencedirect.com/science/journal/0305750X" TargetMode="External"/><Relationship Id="rId22" Type="http://schemas.openxmlformats.org/officeDocument/2006/relationships/hyperlink" Target="http://www.rtb.cgiar.org/gender-breeding-initiati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AC3C-0FBF-45F2-85CC-BCE57F99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12823</Words>
  <Characters>73094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Alastair (ICRISAT-IN)</dc:creator>
  <cp:keywords/>
  <dc:description/>
  <cp:lastModifiedBy>Orr, Alastair (ICRISAT-IN)</cp:lastModifiedBy>
  <cp:revision>46</cp:revision>
  <cp:lastPrinted>2019-10-29T08:10:00Z</cp:lastPrinted>
  <dcterms:created xsi:type="dcterms:W3CDTF">2019-10-29T08:29:00Z</dcterms:created>
  <dcterms:modified xsi:type="dcterms:W3CDTF">2019-10-29T12:50:00Z</dcterms:modified>
</cp:coreProperties>
</file>