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925A5" w14:textId="77777777" w:rsidR="006E40C8" w:rsidRDefault="006E40C8" w:rsidP="006E40C8">
      <w:pPr>
        <w:pStyle w:val="Heading1"/>
        <w:jc w:val="both"/>
        <w:rPr>
          <w:b/>
          <w:bCs/>
          <w:color w:val="00B050"/>
          <w:lang w:val="en-GB"/>
        </w:rPr>
      </w:pPr>
      <w:bookmarkStart w:id="0" w:name="_Toc535554991"/>
      <w:r w:rsidRPr="00E5741A">
        <w:rPr>
          <w:b/>
          <w:bCs/>
          <w:color w:val="00B050"/>
          <w:lang w:val="en-GB"/>
        </w:rPr>
        <w:t xml:space="preserve">Annex </w:t>
      </w:r>
      <w:r>
        <w:rPr>
          <w:b/>
          <w:bCs/>
          <w:color w:val="00B050"/>
          <w:lang w:val="en-GB"/>
        </w:rPr>
        <w:t>2</w:t>
      </w:r>
      <w:r w:rsidRPr="00E5741A">
        <w:rPr>
          <w:b/>
          <w:bCs/>
          <w:color w:val="00B050"/>
          <w:lang w:val="en-GB"/>
        </w:rPr>
        <w:t xml:space="preserve"> </w:t>
      </w:r>
      <w:r>
        <w:rPr>
          <w:b/>
          <w:bCs/>
          <w:color w:val="00B050"/>
          <w:lang w:val="en-GB"/>
        </w:rPr>
        <w:t>– Flagship Report Template</w:t>
      </w:r>
      <w:bookmarkEnd w:id="0"/>
    </w:p>
    <w:p w14:paraId="49260CCC" w14:textId="77777777" w:rsidR="006E40C8" w:rsidRDefault="006E40C8" w:rsidP="006E40C8">
      <w:pPr>
        <w:rPr>
          <w:b/>
          <w:bCs/>
          <w:color w:val="00B050"/>
          <w:lang w:val="en-GB"/>
        </w:rPr>
      </w:pPr>
    </w:p>
    <w:p w14:paraId="53C5D07D" w14:textId="77D3F48F" w:rsidR="006E40C8" w:rsidRPr="00614496" w:rsidRDefault="006E40C8" w:rsidP="006E40C8">
      <w:pPr>
        <w:rPr>
          <w:rFonts w:asciiTheme="majorHAnsi" w:hAnsiTheme="majorHAnsi" w:cs="Arial"/>
          <w:b/>
          <w:noProof/>
          <w:color w:val="BFBFBF" w:themeColor="background1" w:themeShade="BF"/>
          <w:sz w:val="44"/>
          <w:szCs w:val="50"/>
        </w:rPr>
      </w:pPr>
      <w:r w:rsidRPr="00614496">
        <w:rPr>
          <w:rFonts w:asciiTheme="majorHAnsi" w:hAnsiTheme="majorHAnsi" w:cs="Arial"/>
          <w:b/>
          <w:noProof/>
          <w:color w:val="BFBFBF" w:themeColor="background1" w:themeShade="BF"/>
          <w:sz w:val="44"/>
          <w:szCs w:val="50"/>
        </w:rPr>
        <w:t>Flagship annual report - 201</w:t>
      </w:r>
      <w:r w:rsidR="00B92662">
        <w:rPr>
          <w:rFonts w:asciiTheme="majorHAnsi" w:hAnsiTheme="majorHAnsi" w:cs="Arial"/>
          <w:b/>
          <w:noProof/>
          <w:color w:val="BFBFBF" w:themeColor="background1" w:themeShade="BF"/>
          <w:sz w:val="44"/>
          <w:szCs w:val="50"/>
        </w:rPr>
        <w:t>9</w:t>
      </w:r>
    </w:p>
    <w:p w14:paraId="66DC3834" w14:textId="3D22C8C0" w:rsidR="006E40C8" w:rsidRPr="00614496" w:rsidRDefault="000B1C66" w:rsidP="006E40C8">
      <w:pPr>
        <w:rPr>
          <w:rFonts w:asciiTheme="majorHAnsi" w:hAnsiTheme="majorHAnsi" w:cs="Arial"/>
          <w:b/>
          <w:noProof/>
          <w:color w:val="BFBFBF" w:themeColor="background1" w:themeShade="BF"/>
          <w:sz w:val="44"/>
          <w:szCs w:val="50"/>
        </w:rPr>
      </w:pPr>
      <w:r>
        <w:rPr>
          <w:rFonts w:asciiTheme="majorHAnsi" w:hAnsiTheme="majorHAnsi" w:cs="Arial"/>
          <w:b/>
          <w:noProof/>
          <w:color w:val="BFBFBF" w:themeColor="background1" w:themeShade="BF"/>
          <w:sz w:val="44"/>
          <w:szCs w:val="50"/>
        </w:rPr>
        <w:t>FP3</w:t>
      </w:r>
      <w:r w:rsidR="006E40C8" w:rsidRPr="00614496">
        <w:rPr>
          <w:rFonts w:asciiTheme="majorHAnsi" w:hAnsiTheme="majorHAnsi" w:cs="Arial"/>
          <w:b/>
          <w:noProof/>
          <w:color w:val="BFBFBF" w:themeColor="background1" w:themeShade="BF"/>
          <w:sz w:val="44"/>
          <w:szCs w:val="50"/>
        </w:rPr>
        <w:t xml:space="preserve"> – </w:t>
      </w:r>
      <w:r>
        <w:rPr>
          <w:rFonts w:asciiTheme="majorHAnsi" w:hAnsiTheme="majorHAnsi" w:cs="Arial"/>
          <w:b/>
          <w:noProof/>
          <w:color w:val="BFBFBF" w:themeColor="background1" w:themeShade="BF"/>
          <w:sz w:val="44"/>
          <w:szCs w:val="50"/>
        </w:rPr>
        <w:t>Integrated farm and household management</w:t>
      </w:r>
    </w:p>
    <w:p w14:paraId="29651934" w14:textId="77777777" w:rsidR="006E40C8" w:rsidRPr="00614496" w:rsidRDefault="006E40C8" w:rsidP="006E40C8">
      <w:pPr>
        <w:rPr>
          <w:color w:val="BFBFBF" w:themeColor="background1" w:themeShade="BF"/>
        </w:rPr>
      </w:pPr>
      <w:r w:rsidRPr="00614496">
        <w:rPr>
          <w:color w:val="BFBFBF" w:themeColor="background1" w:themeShade="BF"/>
        </w:rPr>
        <w:t xml:space="preserve"> </w:t>
      </w:r>
    </w:p>
    <w:p w14:paraId="469C406D" w14:textId="70220225" w:rsidR="00C10589" w:rsidRPr="0037289C" w:rsidRDefault="006E40C8" w:rsidP="00C10589">
      <w:pPr>
        <w:rPr>
          <w:rFonts w:asciiTheme="majorHAnsi" w:hAnsiTheme="majorHAnsi" w:cstheme="majorHAnsi"/>
        </w:rPr>
      </w:pPr>
      <w:r w:rsidRPr="0037289C">
        <w:rPr>
          <w:rFonts w:asciiTheme="majorHAnsi" w:hAnsiTheme="majorHAnsi" w:cstheme="majorHAnsi"/>
        </w:rPr>
        <w:t>Authors</w:t>
      </w:r>
      <w:r w:rsidR="00C10589" w:rsidRPr="0037289C">
        <w:rPr>
          <w:rFonts w:asciiTheme="majorHAnsi" w:hAnsiTheme="majorHAnsi" w:cstheme="majorHAnsi"/>
        </w:rPr>
        <w:t>: Bayala Jules (ICRAF-</w:t>
      </w:r>
      <w:r w:rsidR="00012AA2">
        <w:rPr>
          <w:rFonts w:asciiTheme="majorHAnsi" w:hAnsiTheme="majorHAnsi" w:cstheme="majorHAnsi"/>
        </w:rPr>
        <w:t>FP3 leader</w:t>
      </w:r>
      <w:r w:rsidR="00C10589" w:rsidRPr="0037289C">
        <w:rPr>
          <w:rFonts w:asciiTheme="majorHAnsi" w:hAnsiTheme="majorHAnsi" w:cstheme="majorHAnsi"/>
        </w:rPr>
        <w:t xml:space="preserve">), </w:t>
      </w:r>
      <w:r w:rsidR="00160185" w:rsidRPr="0037289C">
        <w:rPr>
          <w:rFonts w:asciiTheme="majorHAnsi" w:hAnsiTheme="majorHAnsi" w:cstheme="majorHAnsi"/>
        </w:rPr>
        <w:t>Tamo Manuele (IITA-</w:t>
      </w:r>
      <w:r w:rsidR="00012AA2">
        <w:rPr>
          <w:rFonts w:asciiTheme="majorHAnsi" w:hAnsiTheme="majorHAnsi" w:cstheme="majorHAnsi"/>
        </w:rPr>
        <w:t>CoA</w:t>
      </w:r>
      <w:r w:rsidR="00AF4EF6">
        <w:rPr>
          <w:rFonts w:asciiTheme="majorHAnsi" w:hAnsiTheme="majorHAnsi" w:cstheme="majorHAnsi"/>
        </w:rPr>
        <w:t>3.1 leader</w:t>
      </w:r>
      <w:r w:rsidR="00160185" w:rsidRPr="0037289C">
        <w:rPr>
          <w:rFonts w:asciiTheme="majorHAnsi" w:hAnsiTheme="majorHAnsi" w:cstheme="majorHAnsi"/>
        </w:rPr>
        <w:t>), Julie Dusserre (CIRAD</w:t>
      </w:r>
      <w:r w:rsidR="00AF4EF6">
        <w:rPr>
          <w:rFonts w:asciiTheme="majorHAnsi" w:hAnsiTheme="majorHAnsi" w:cstheme="majorHAnsi"/>
        </w:rPr>
        <w:t>-CoA3.1 co-leader</w:t>
      </w:r>
      <w:r w:rsidR="00160185">
        <w:rPr>
          <w:rFonts w:asciiTheme="majorHAnsi" w:hAnsiTheme="majorHAnsi" w:cstheme="majorHAnsi"/>
        </w:rPr>
        <w:t>),</w:t>
      </w:r>
      <w:r w:rsidR="00160185" w:rsidRPr="0037289C">
        <w:rPr>
          <w:rFonts w:asciiTheme="majorHAnsi" w:hAnsiTheme="majorHAnsi" w:cstheme="majorHAnsi"/>
        </w:rPr>
        <w:t xml:space="preserve"> Boahen Steve (IITA</w:t>
      </w:r>
      <w:r w:rsidR="00AF4EF6">
        <w:rPr>
          <w:rFonts w:asciiTheme="majorHAnsi" w:hAnsiTheme="majorHAnsi" w:cstheme="majorHAnsi"/>
        </w:rPr>
        <w:t>-CoA3.2 leader</w:t>
      </w:r>
      <w:r w:rsidR="00160185" w:rsidRPr="0037289C">
        <w:rPr>
          <w:rFonts w:asciiTheme="majorHAnsi" w:hAnsiTheme="majorHAnsi" w:cstheme="majorHAnsi"/>
        </w:rPr>
        <w:t>), Sigrun Dahlin (SLU</w:t>
      </w:r>
      <w:r w:rsidR="00AF4EF6">
        <w:rPr>
          <w:rFonts w:asciiTheme="majorHAnsi" w:hAnsiTheme="majorHAnsi" w:cstheme="majorHAnsi"/>
        </w:rPr>
        <w:t>-CoA3.2 co-leader</w:t>
      </w:r>
      <w:r w:rsidR="00160185" w:rsidRPr="0037289C">
        <w:rPr>
          <w:rFonts w:asciiTheme="majorHAnsi" w:hAnsiTheme="majorHAnsi" w:cstheme="majorHAnsi"/>
        </w:rPr>
        <w:t>)</w:t>
      </w:r>
      <w:r w:rsidR="00160185">
        <w:rPr>
          <w:rFonts w:asciiTheme="majorHAnsi" w:hAnsiTheme="majorHAnsi" w:cstheme="majorHAnsi"/>
        </w:rPr>
        <w:t xml:space="preserve">, </w:t>
      </w:r>
      <w:r w:rsidR="00C10589" w:rsidRPr="0037289C">
        <w:rPr>
          <w:rFonts w:asciiTheme="majorHAnsi" w:hAnsiTheme="majorHAnsi" w:cstheme="majorHAnsi"/>
        </w:rPr>
        <w:t>Shalander Kumar (ICRISAT</w:t>
      </w:r>
      <w:r w:rsidR="00AF4EF6">
        <w:rPr>
          <w:rFonts w:asciiTheme="majorHAnsi" w:hAnsiTheme="majorHAnsi" w:cstheme="majorHAnsi"/>
        </w:rPr>
        <w:t>-CoA3.3 leader</w:t>
      </w:r>
      <w:r w:rsidR="00C10589" w:rsidRPr="0037289C">
        <w:rPr>
          <w:rFonts w:asciiTheme="majorHAnsi" w:hAnsiTheme="majorHAnsi" w:cstheme="majorHAnsi"/>
        </w:rPr>
        <w:t>), Katrien Descheemaeker (WUR</w:t>
      </w:r>
      <w:r w:rsidR="00AF4EF6">
        <w:rPr>
          <w:rFonts w:asciiTheme="majorHAnsi" w:hAnsiTheme="majorHAnsi" w:cstheme="majorHAnsi"/>
        </w:rPr>
        <w:t>-CoA3.3 co-leader</w:t>
      </w:r>
      <w:r w:rsidR="00C10589" w:rsidRPr="0037289C">
        <w:rPr>
          <w:rFonts w:asciiTheme="majorHAnsi" w:hAnsiTheme="majorHAnsi" w:cstheme="majorHAnsi"/>
        </w:rPr>
        <w:t xml:space="preserve">) </w:t>
      </w:r>
    </w:p>
    <w:p w14:paraId="2684B277" w14:textId="736064F2" w:rsidR="006E40C8" w:rsidRDefault="006E40C8" w:rsidP="006E40C8"/>
    <w:p w14:paraId="4BBF3926" w14:textId="77777777" w:rsidR="006E40C8" w:rsidRPr="00614496" w:rsidRDefault="006E40C8" w:rsidP="006E40C8">
      <w:pPr>
        <w:pStyle w:val="Heading1"/>
        <w:rPr>
          <w:color w:val="BFBFBF" w:themeColor="background1" w:themeShade="BF"/>
          <w:sz w:val="24"/>
        </w:rPr>
      </w:pPr>
      <w:bookmarkStart w:id="1" w:name="_Toc535553050"/>
      <w:bookmarkStart w:id="2" w:name="_Toc535554729"/>
      <w:bookmarkStart w:id="3" w:name="_Toc535554951"/>
      <w:bookmarkStart w:id="4" w:name="_Toc535554992"/>
      <w:r w:rsidRPr="00614496">
        <w:rPr>
          <w:color w:val="BFBFBF" w:themeColor="background1" w:themeShade="BF"/>
          <w:sz w:val="24"/>
        </w:rPr>
        <w:t>Progress by flagship</w:t>
      </w:r>
      <w:bookmarkEnd w:id="1"/>
      <w:bookmarkEnd w:id="2"/>
      <w:bookmarkEnd w:id="3"/>
      <w:bookmarkEnd w:id="4"/>
    </w:p>
    <w:p w14:paraId="0200504F" w14:textId="77777777" w:rsidR="006E40C8" w:rsidRDefault="006E40C8" w:rsidP="006E40C8">
      <w:pPr>
        <w:jc w:val="both"/>
      </w:pPr>
      <w:r>
        <w:t>[Please provide brief summary narratives about how each individual CRP Flagship progressed towards the agreed ‘Program outcomes’, introducing Milestones Table to the reader, highlighting (</w:t>
      </w:r>
      <w:proofErr w:type="spellStart"/>
      <w:r>
        <w:t>i</w:t>
      </w:r>
      <w:proofErr w:type="spellEnd"/>
      <w:r>
        <w:t xml:space="preserve">) major pieces of work and innovations and (ii) any major course corrections. Where relevant, indicate </w:t>
      </w:r>
      <w:r w:rsidRPr="000E33A5">
        <w:t>cross-flagship linkages and how one FP built on or worked with another to get results.</w:t>
      </w:r>
      <w:r>
        <w:t xml:space="preserve"> (max 800 words).</w:t>
      </w:r>
    </w:p>
    <w:p w14:paraId="61159095" w14:textId="38ACD4A6" w:rsidR="006E40C8" w:rsidRDefault="006E40C8" w:rsidP="006E40C8">
      <w:pPr>
        <w:jc w:val="both"/>
      </w:pPr>
    </w:p>
    <w:p w14:paraId="226898FA" w14:textId="52A3BB92" w:rsidR="00515B8D" w:rsidRPr="00CA0B6D" w:rsidRDefault="00515B8D" w:rsidP="00515B8D">
      <w:pPr>
        <w:rPr>
          <w:rFonts w:asciiTheme="majorHAnsi" w:hAnsiTheme="majorHAnsi" w:cstheme="majorHAnsi"/>
          <w:bCs/>
          <w:color w:val="000000" w:themeColor="text1"/>
        </w:rPr>
      </w:pPr>
      <w:r w:rsidRPr="00CA0B6D">
        <w:rPr>
          <w:rFonts w:asciiTheme="majorHAnsi" w:hAnsiTheme="majorHAnsi" w:cstheme="majorHAnsi"/>
          <w:color w:val="000000" w:themeColor="text1"/>
        </w:rPr>
        <w:t>CoA3.1 addressed the issue of biotic stresses through reducing agro-chemical inputs in controlling pest and diseases by tailoring their management options for better efficacy</w:t>
      </w:r>
      <w:r w:rsidR="00C81767" w:rsidRPr="00CA0B6D">
        <w:rPr>
          <w:rFonts w:asciiTheme="majorHAnsi" w:hAnsiTheme="majorHAnsi" w:cstheme="majorHAnsi"/>
          <w:color w:val="000000" w:themeColor="text1"/>
        </w:rPr>
        <w:t xml:space="preserve"> (Table 5)</w:t>
      </w:r>
      <w:r w:rsidRPr="00CA0B6D">
        <w:rPr>
          <w:rFonts w:asciiTheme="majorHAnsi" w:hAnsiTheme="majorHAnsi" w:cstheme="majorHAnsi"/>
          <w:color w:val="000000" w:themeColor="text1"/>
        </w:rPr>
        <w:t>.</w:t>
      </w:r>
      <w:r w:rsidR="00D1170F" w:rsidRPr="00CA0B6D">
        <w:rPr>
          <w:rFonts w:asciiTheme="majorHAnsi" w:hAnsiTheme="majorHAnsi" w:cstheme="majorHAnsi"/>
          <w:color w:val="000000" w:themeColor="text1"/>
        </w:rPr>
        <w:t xml:space="preserve"> Th</w:t>
      </w:r>
      <w:r w:rsidR="00C41A11" w:rsidRPr="00CA0B6D">
        <w:rPr>
          <w:rFonts w:asciiTheme="majorHAnsi" w:hAnsiTheme="majorHAnsi" w:cstheme="majorHAnsi"/>
          <w:color w:val="000000" w:themeColor="text1"/>
        </w:rPr>
        <w:t>u</w:t>
      </w:r>
      <w:r w:rsidR="00D1170F" w:rsidRPr="00CA0B6D">
        <w:rPr>
          <w:rFonts w:asciiTheme="majorHAnsi" w:hAnsiTheme="majorHAnsi" w:cstheme="majorHAnsi"/>
          <w:color w:val="000000" w:themeColor="text1"/>
        </w:rPr>
        <w:t xml:space="preserve">s, </w:t>
      </w:r>
      <w:r w:rsidR="00B160FF" w:rsidRPr="00CA0B6D">
        <w:rPr>
          <w:rFonts w:asciiTheme="majorHAnsi" w:hAnsiTheme="majorHAnsi" w:cstheme="majorHAnsi"/>
          <w:color w:val="000000" w:themeColor="text1"/>
        </w:rPr>
        <w:t>f</w:t>
      </w:r>
      <w:r w:rsidRPr="00CA0B6D">
        <w:rPr>
          <w:rFonts w:asciiTheme="majorHAnsi" w:hAnsiTheme="majorHAnsi" w:cstheme="majorHAnsi"/>
          <w:color w:val="000000" w:themeColor="text1"/>
        </w:rPr>
        <w:t xml:space="preserve">ive strains </w:t>
      </w:r>
      <w:r w:rsidR="00607550" w:rsidRPr="00CA0B6D">
        <w:rPr>
          <w:rFonts w:asciiTheme="majorHAnsi" w:hAnsiTheme="majorHAnsi" w:cstheme="majorHAnsi"/>
          <w:color w:val="000000" w:themeColor="text1"/>
        </w:rPr>
        <w:t xml:space="preserve">each </w:t>
      </w:r>
      <w:r w:rsidRPr="00CA0B6D">
        <w:rPr>
          <w:rFonts w:asciiTheme="majorHAnsi" w:hAnsiTheme="majorHAnsi" w:cstheme="majorHAnsi"/>
          <w:color w:val="000000" w:themeColor="text1"/>
        </w:rPr>
        <w:t xml:space="preserve">of </w:t>
      </w:r>
      <w:r w:rsidRPr="00CA0B6D">
        <w:rPr>
          <w:rFonts w:asciiTheme="majorHAnsi" w:hAnsiTheme="majorHAnsi" w:cstheme="majorHAnsi"/>
          <w:i/>
          <w:iCs/>
          <w:color w:val="000000" w:themeColor="text1"/>
        </w:rPr>
        <w:t>Streptomyces</w:t>
      </w:r>
      <w:r w:rsidRPr="00CA0B6D">
        <w:rPr>
          <w:rFonts w:asciiTheme="majorHAnsi" w:hAnsiTheme="majorHAnsi" w:cstheme="majorHAnsi"/>
          <w:color w:val="000000" w:themeColor="text1"/>
        </w:rPr>
        <w:t xml:space="preserve"> and </w:t>
      </w:r>
      <w:r w:rsidRPr="00CA0B6D">
        <w:rPr>
          <w:rFonts w:asciiTheme="majorHAnsi" w:hAnsiTheme="majorHAnsi" w:cstheme="majorHAnsi"/>
          <w:i/>
          <w:iCs/>
          <w:color w:val="000000" w:themeColor="text1"/>
        </w:rPr>
        <w:t>Bacillus</w:t>
      </w:r>
      <w:r w:rsidRPr="00CA0B6D">
        <w:rPr>
          <w:rFonts w:asciiTheme="majorHAnsi" w:hAnsiTheme="majorHAnsi" w:cstheme="majorHAnsi"/>
          <w:color w:val="000000" w:themeColor="text1"/>
        </w:rPr>
        <w:t xml:space="preserve"> were evaluated as bio-control agents against </w:t>
      </w:r>
      <w:r w:rsidRPr="00CA0B6D">
        <w:rPr>
          <w:rFonts w:asciiTheme="majorHAnsi" w:hAnsiTheme="majorHAnsi" w:cstheme="majorHAnsi"/>
          <w:i/>
          <w:iCs/>
          <w:color w:val="000000" w:themeColor="text1"/>
        </w:rPr>
        <w:t>Fusarium</w:t>
      </w:r>
      <w:r w:rsidRPr="00CA0B6D">
        <w:rPr>
          <w:rFonts w:asciiTheme="majorHAnsi" w:hAnsiTheme="majorHAnsi" w:cstheme="majorHAnsi"/>
          <w:color w:val="000000" w:themeColor="text1"/>
        </w:rPr>
        <w:t xml:space="preserve"> wilt and PGP agents in chickpea</w:t>
      </w:r>
      <w:r w:rsidR="00437130" w:rsidRPr="00CA0B6D">
        <w:rPr>
          <w:rFonts w:asciiTheme="majorHAnsi" w:hAnsiTheme="majorHAnsi" w:cstheme="majorHAnsi"/>
          <w:color w:val="000000" w:themeColor="text1"/>
        </w:rPr>
        <w:t xml:space="preserve"> u</w:t>
      </w:r>
      <w:r w:rsidRPr="00CA0B6D">
        <w:rPr>
          <w:rFonts w:asciiTheme="majorHAnsi" w:hAnsiTheme="majorHAnsi" w:cstheme="majorHAnsi"/>
          <w:color w:val="000000" w:themeColor="text1"/>
          <w:shd w:val="clear" w:color="auto" w:fill="FFFFFF"/>
        </w:rPr>
        <w:t>nder both greenhouse and field conditions</w:t>
      </w:r>
      <w:r w:rsidR="00D777B8" w:rsidRPr="00CA0B6D">
        <w:rPr>
          <w:rFonts w:asciiTheme="majorHAnsi" w:hAnsiTheme="majorHAnsi" w:cstheme="majorHAnsi"/>
          <w:color w:val="000000" w:themeColor="text1"/>
          <w:shd w:val="clear" w:color="auto" w:fill="FFFFFF"/>
        </w:rPr>
        <w:t xml:space="preserve"> and they</w:t>
      </w:r>
      <w:r w:rsidRPr="00CA0B6D">
        <w:rPr>
          <w:rFonts w:asciiTheme="majorHAnsi" w:hAnsiTheme="majorHAnsi" w:cstheme="majorHAnsi"/>
          <w:color w:val="000000" w:themeColor="text1"/>
          <w:shd w:val="clear" w:color="auto" w:fill="FFFFFF"/>
        </w:rPr>
        <w:t xml:space="preserve"> reduced </w:t>
      </w:r>
      <w:r w:rsidR="00A642D1" w:rsidRPr="00CA0B6D">
        <w:rPr>
          <w:rFonts w:asciiTheme="majorHAnsi" w:hAnsiTheme="majorHAnsi" w:cstheme="majorHAnsi"/>
          <w:color w:val="000000" w:themeColor="text1"/>
          <w:shd w:val="clear" w:color="auto" w:fill="FFFFFF"/>
        </w:rPr>
        <w:t xml:space="preserve">the </w:t>
      </w:r>
      <w:r w:rsidRPr="00CA0B6D">
        <w:rPr>
          <w:rFonts w:asciiTheme="majorHAnsi" w:hAnsiTheme="majorHAnsi" w:cstheme="majorHAnsi"/>
          <w:color w:val="000000" w:themeColor="text1"/>
          <w:shd w:val="clear" w:color="auto" w:fill="FFFFFF"/>
        </w:rPr>
        <w:t>disease incidence.</w:t>
      </w:r>
      <w:r w:rsidR="00D248EA" w:rsidRPr="00CA0B6D">
        <w:rPr>
          <w:rFonts w:asciiTheme="majorHAnsi" w:hAnsiTheme="majorHAnsi" w:cstheme="majorHAnsi"/>
          <w:color w:val="000000" w:themeColor="text1"/>
        </w:rPr>
        <w:t xml:space="preserve"> </w:t>
      </w:r>
      <w:r w:rsidR="008C473D" w:rsidRPr="00CA0B6D">
        <w:rPr>
          <w:rFonts w:asciiTheme="majorHAnsi" w:hAnsiTheme="majorHAnsi" w:cstheme="majorHAnsi"/>
          <w:color w:val="000000" w:themeColor="text1"/>
        </w:rPr>
        <w:t>In addition</w:t>
      </w:r>
      <w:r w:rsidR="00A20C2B" w:rsidRPr="00CA0B6D">
        <w:rPr>
          <w:rFonts w:asciiTheme="majorHAnsi" w:hAnsiTheme="majorHAnsi" w:cstheme="majorHAnsi"/>
          <w:color w:val="000000" w:themeColor="text1"/>
        </w:rPr>
        <w:t xml:space="preserve">, </w:t>
      </w:r>
      <w:r w:rsidR="00A20C2B" w:rsidRPr="00CA0B6D">
        <w:rPr>
          <w:rFonts w:asciiTheme="majorHAnsi" w:hAnsiTheme="majorHAnsi" w:cstheme="majorHAnsi"/>
          <w:bCs/>
          <w:color w:val="000000" w:themeColor="text1"/>
        </w:rPr>
        <w:t>t</w:t>
      </w:r>
      <w:r w:rsidR="00A727A0" w:rsidRPr="00CA0B6D">
        <w:rPr>
          <w:rFonts w:asciiTheme="majorHAnsi" w:hAnsiTheme="majorHAnsi" w:cstheme="majorHAnsi"/>
          <w:bCs/>
          <w:color w:val="000000" w:themeColor="text1"/>
        </w:rPr>
        <w:t xml:space="preserve">he spatial and temporal distribution of emerging diseases of chickpea and </w:t>
      </w:r>
      <w:proofErr w:type="spellStart"/>
      <w:r w:rsidR="00A727A0" w:rsidRPr="00CA0B6D">
        <w:rPr>
          <w:rFonts w:asciiTheme="majorHAnsi" w:hAnsiTheme="majorHAnsi" w:cstheme="majorHAnsi"/>
          <w:bCs/>
          <w:color w:val="000000" w:themeColor="text1"/>
        </w:rPr>
        <w:t>pigeonpea</w:t>
      </w:r>
      <w:proofErr w:type="spellEnd"/>
      <w:r w:rsidR="00A727A0" w:rsidRPr="00CA0B6D">
        <w:rPr>
          <w:rFonts w:asciiTheme="majorHAnsi" w:hAnsiTheme="majorHAnsi" w:cstheme="majorHAnsi"/>
          <w:bCs/>
          <w:color w:val="000000" w:themeColor="text1"/>
        </w:rPr>
        <w:t xml:space="preserve"> in India was assessed </w:t>
      </w:r>
      <w:r w:rsidR="00C90D63">
        <w:rPr>
          <w:rFonts w:asciiTheme="majorHAnsi" w:hAnsiTheme="majorHAnsi" w:cstheme="majorHAnsi"/>
          <w:bCs/>
          <w:color w:val="000000" w:themeColor="text1"/>
        </w:rPr>
        <w:t xml:space="preserve">and </w:t>
      </w:r>
      <w:r w:rsidR="00A727A0" w:rsidRPr="00CA0B6D">
        <w:rPr>
          <w:rFonts w:asciiTheme="majorHAnsi" w:hAnsiTheme="majorHAnsi" w:cstheme="majorHAnsi"/>
          <w:bCs/>
          <w:color w:val="000000" w:themeColor="text1"/>
        </w:rPr>
        <w:t>risk areas</w:t>
      </w:r>
      <w:r w:rsidR="00C90D63">
        <w:rPr>
          <w:rFonts w:asciiTheme="majorHAnsi" w:hAnsiTheme="majorHAnsi" w:cstheme="majorHAnsi"/>
          <w:bCs/>
          <w:color w:val="000000" w:themeColor="text1"/>
        </w:rPr>
        <w:t xml:space="preserve"> mapped</w:t>
      </w:r>
      <w:r w:rsidR="00A727A0" w:rsidRPr="00CA0B6D">
        <w:rPr>
          <w:rFonts w:asciiTheme="majorHAnsi" w:hAnsiTheme="majorHAnsi" w:cstheme="majorHAnsi"/>
          <w:bCs/>
          <w:color w:val="000000" w:themeColor="text1"/>
        </w:rPr>
        <w:t xml:space="preserve">. </w:t>
      </w:r>
      <w:r w:rsidR="00416436" w:rsidRPr="00CA0B6D">
        <w:rPr>
          <w:rFonts w:asciiTheme="majorHAnsi" w:hAnsiTheme="majorHAnsi" w:cstheme="majorHAnsi"/>
          <w:color w:val="000000" w:themeColor="text1"/>
        </w:rPr>
        <w:t xml:space="preserve">In </w:t>
      </w:r>
      <w:r w:rsidR="00A03981" w:rsidRPr="00CA0B6D">
        <w:rPr>
          <w:rFonts w:asciiTheme="majorHAnsi" w:hAnsiTheme="majorHAnsi" w:cstheme="majorHAnsi"/>
          <w:color w:val="000000" w:themeColor="text1"/>
        </w:rPr>
        <w:t xml:space="preserve">a </w:t>
      </w:r>
      <w:r w:rsidR="004D4237" w:rsidRPr="00CA0B6D">
        <w:rPr>
          <w:rFonts w:asciiTheme="majorHAnsi" w:hAnsiTheme="majorHAnsi" w:cstheme="majorHAnsi"/>
          <w:color w:val="000000" w:themeColor="text1"/>
        </w:rPr>
        <w:t>large</w:t>
      </w:r>
      <w:r w:rsidR="00BA2A95" w:rsidRPr="00CA0B6D">
        <w:rPr>
          <w:rFonts w:asciiTheme="majorHAnsi" w:hAnsiTheme="majorHAnsi" w:cstheme="majorHAnsi"/>
          <w:color w:val="000000" w:themeColor="text1"/>
        </w:rPr>
        <w:t>-</w:t>
      </w:r>
      <w:r w:rsidR="004D4237" w:rsidRPr="00CA0B6D">
        <w:rPr>
          <w:rFonts w:asciiTheme="majorHAnsi" w:hAnsiTheme="majorHAnsi" w:cstheme="majorHAnsi"/>
          <w:color w:val="000000" w:themeColor="text1"/>
        </w:rPr>
        <w:t xml:space="preserve">scale </w:t>
      </w:r>
      <w:r w:rsidR="00416436" w:rsidRPr="00CA0B6D">
        <w:rPr>
          <w:rFonts w:asciiTheme="majorHAnsi" w:hAnsiTheme="majorHAnsi" w:cstheme="majorHAnsi"/>
          <w:color w:val="000000" w:themeColor="text1"/>
        </w:rPr>
        <w:t>a</w:t>
      </w:r>
      <w:r w:rsidR="00A47565" w:rsidRPr="00CA0B6D">
        <w:rPr>
          <w:rFonts w:asciiTheme="majorHAnsi" w:hAnsiTheme="majorHAnsi" w:cstheme="majorHAnsi"/>
          <w:color w:val="000000" w:themeColor="text1"/>
        </w:rPr>
        <w:t xml:space="preserve">pplication </w:t>
      </w:r>
      <w:r w:rsidR="005F5039" w:rsidRPr="00CA0B6D">
        <w:rPr>
          <w:rFonts w:asciiTheme="majorHAnsi" w:hAnsiTheme="majorHAnsi" w:cstheme="majorHAnsi"/>
          <w:color w:val="000000" w:themeColor="text1"/>
        </w:rPr>
        <w:t xml:space="preserve">of biocontrol agents </w:t>
      </w:r>
      <w:r w:rsidR="00533A6D" w:rsidRPr="00CA0B6D">
        <w:rPr>
          <w:rFonts w:asciiTheme="majorHAnsi" w:hAnsiTheme="majorHAnsi" w:cstheme="majorHAnsi"/>
          <w:color w:val="000000" w:themeColor="text1"/>
        </w:rPr>
        <w:t>i</w:t>
      </w:r>
      <w:r w:rsidRPr="00CA0B6D">
        <w:rPr>
          <w:rFonts w:asciiTheme="majorHAnsi" w:hAnsiTheme="majorHAnsi" w:cstheme="majorHAnsi"/>
          <w:color w:val="000000" w:themeColor="text1"/>
        </w:rPr>
        <w:t xml:space="preserve">n Benin and Burkina Faso, adults </w:t>
      </w:r>
      <w:r w:rsidR="00C85D9E" w:rsidRPr="00CA0B6D">
        <w:rPr>
          <w:rFonts w:asciiTheme="majorHAnsi" w:hAnsiTheme="majorHAnsi" w:cstheme="majorHAnsi"/>
          <w:color w:val="000000" w:themeColor="text1"/>
        </w:rPr>
        <w:t>of</w:t>
      </w:r>
      <w:r w:rsidRPr="00CA0B6D">
        <w:rPr>
          <w:rFonts w:asciiTheme="majorHAnsi" w:hAnsiTheme="majorHAnsi" w:cstheme="majorHAnsi"/>
          <w:color w:val="000000" w:themeColor="text1"/>
        </w:rPr>
        <w:t xml:space="preserve"> </w:t>
      </w:r>
      <w:proofErr w:type="spellStart"/>
      <w:r w:rsidRPr="00CA0B6D">
        <w:rPr>
          <w:rFonts w:asciiTheme="majorHAnsi" w:hAnsiTheme="majorHAnsi" w:cstheme="majorHAnsi"/>
          <w:i/>
          <w:iCs/>
          <w:color w:val="000000" w:themeColor="text1"/>
        </w:rPr>
        <w:t>Therophilus</w:t>
      </w:r>
      <w:proofErr w:type="spellEnd"/>
      <w:r w:rsidRPr="00CA0B6D">
        <w:rPr>
          <w:rFonts w:asciiTheme="majorHAnsi" w:hAnsiTheme="majorHAnsi" w:cstheme="majorHAnsi"/>
          <w:i/>
          <w:iCs/>
          <w:color w:val="000000" w:themeColor="text1"/>
        </w:rPr>
        <w:t xml:space="preserve"> </w:t>
      </w:r>
      <w:proofErr w:type="spellStart"/>
      <w:r w:rsidRPr="00CA0B6D">
        <w:rPr>
          <w:rFonts w:asciiTheme="majorHAnsi" w:hAnsiTheme="majorHAnsi" w:cstheme="majorHAnsi"/>
          <w:i/>
          <w:iCs/>
          <w:color w:val="000000" w:themeColor="text1"/>
        </w:rPr>
        <w:t>javanus</w:t>
      </w:r>
      <w:proofErr w:type="spellEnd"/>
      <w:r w:rsidRPr="00CA0B6D">
        <w:rPr>
          <w:rFonts w:asciiTheme="majorHAnsi" w:hAnsiTheme="majorHAnsi" w:cstheme="majorHAnsi"/>
          <w:color w:val="000000" w:themeColor="text1"/>
        </w:rPr>
        <w:t xml:space="preserve"> </w:t>
      </w:r>
      <w:r w:rsidR="00C85D9E" w:rsidRPr="00CA0B6D">
        <w:rPr>
          <w:rFonts w:asciiTheme="majorHAnsi" w:hAnsiTheme="majorHAnsi" w:cstheme="majorHAnsi"/>
          <w:color w:val="000000" w:themeColor="text1"/>
        </w:rPr>
        <w:t xml:space="preserve">were recovered </w:t>
      </w:r>
      <w:r w:rsidRPr="00CA0B6D">
        <w:rPr>
          <w:rFonts w:asciiTheme="majorHAnsi" w:hAnsiTheme="majorHAnsi" w:cstheme="majorHAnsi"/>
          <w:color w:val="000000" w:themeColor="text1"/>
        </w:rPr>
        <w:t xml:space="preserve">from parasitized </w:t>
      </w:r>
      <w:proofErr w:type="spellStart"/>
      <w:r w:rsidRPr="00CA0B6D">
        <w:rPr>
          <w:rFonts w:asciiTheme="majorHAnsi" w:hAnsiTheme="majorHAnsi" w:cstheme="majorHAnsi"/>
          <w:i/>
          <w:color w:val="000000" w:themeColor="text1"/>
        </w:rPr>
        <w:t>Maruca</w:t>
      </w:r>
      <w:proofErr w:type="spellEnd"/>
      <w:r w:rsidRPr="00CA0B6D">
        <w:rPr>
          <w:rFonts w:asciiTheme="majorHAnsi" w:hAnsiTheme="majorHAnsi" w:cstheme="majorHAnsi"/>
          <w:i/>
          <w:color w:val="000000" w:themeColor="text1"/>
        </w:rPr>
        <w:t xml:space="preserve"> </w:t>
      </w:r>
      <w:proofErr w:type="spellStart"/>
      <w:r w:rsidRPr="00CA0B6D">
        <w:rPr>
          <w:rFonts w:asciiTheme="majorHAnsi" w:hAnsiTheme="majorHAnsi" w:cstheme="majorHAnsi"/>
          <w:i/>
          <w:color w:val="000000" w:themeColor="text1"/>
        </w:rPr>
        <w:t>vitrata</w:t>
      </w:r>
      <w:proofErr w:type="spellEnd"/>
      <w:r w:rsidRPr="00CA0B6D">
        <w:rPr>
          <w:rFonts w:asciiTheme="majorHAnsi" w:hAnsiTheme="majorHAnsi" w:cstheme="majorHAnsi"/>
          <w:color w:val="000000" w:themeColor="text1"/>
        </w:rPr>
        <w:t xml:space="preserve"> caterpillars collected from cowpea pods 3 years after </w:t>
      </w:r>
      <w:r w:rsidR="001F486C" w:rsidRPr="00CA0B6D">
        <w:rPr>
          <w:rFonts w:asciiTheme="majorHAnsi" w:hAnsiTheme="majorHAnsi" w:cstheme="majorHAnsi"/>
          <w:color w:val="000000" w:themeColor="text1"/>
        </w:rPr>
        <w:t>the</w:t>
      </w:r>
      <w:r w:rsidRPr="00CA0B6D">
        <w:rPr>
          <w:rFonts w:asciiTheme="majorHAnsi" w:hAnsiTheme="majorHAnsi" w:cstheme="majorHAnsi"/>
          <w:color w:val="000000" w:themeColor="text1"/>
        </w:rPr>
        <w:t xml:space="preserve"> release</w:t>
      </w:r>
      <w:r w:rsidR="002B01C3">
        <w:rPr>
          <w:rFonts w:asciiTheme="majorHAnsi" w:hAnsiTheme="majorHAnsi" w:cstheme="majorHAnsi"/>
          <w:color w:val="000000" w:themeColor="text1"/>
        </w:rPr>
        <w:t xml:space="preserve"> and </w:t>
      </w:r>
      <w:r w:rsidR="00316364">
        <w:rPr>
          <w:rFonts w:asciiTheme="majorHAnsi" w:hAnsiTheme="majorHAnsi" w:cstheme="majorHAnsi"/>
          <w:color w:val="000000" w:themeColor="text1"/>
        </w:rPr>
        <w:t xml:space="preserve">the </w:t>
      </w:r>
      <w:r w:rsidRPr="00CA0B6D">
        <w:rPr>
          <w:rFonts w:asciiTheme="majorHAnsi" w:hAnsiTheme="majorHAnsi" w:cstheme="majorHAnsi"/>
          <w:color w:val="000000" w:themeColor="text1"/>
        </w:rPr>
        <w:t xml:space="preserve">borer populations </w:t>
      </w:r>
      <w:r w:rsidR="00B528C9" w:rsidRPr="00CA0B6D">
        <w:rPr>
          <w:rFonts w:asciiTheme="majorHAnsi" w:hAnsiTheme="majorHAnsi" w:cstheme="majorHAnsi"/>
          <w:color w:val="000000" w:themeColor="text1"/>
        </w:rPr>
        <w:t>remain</w:t>
      </w:r>
      <w:r w:rsidR="00DF35AB" w:rsidRPr="00CA0B6D">
        <w:rPr>
          <w:rFonts w:asciiTheme="majorHAnsi" w:hAnsiTheme="majorHAnsi" w:cstheme="majorHAnsi"/>
          <w:color w:val="000000" w:themeColor="text1"/>
        </w:rPr>
        <w:t>s</w:t>
      </w:r>
      <w:r w:rsidR="00B528C9" w:rsidRPr="00CA0B6D">
        <w:rPr>
          <w:rFonts w:asciiTheme="majorHAnsi" w:hAnsiTheme="majorHAnsi" w:cstheme="majorHAnsi"/>
          <w:color w:val="000000" w:themeColor="text1"/>
        </w:rPr>
        <w:t xml:space="preserve"> </w:t>
      </w:r>
      <w:r w:rsidR="001425E6" w:rsidRPr="00CA0B6D">
        <w:rPr>
          <w:rFonts w:asciiTheme="majorHAnsi" w:hAnsiTheme="majorHAnsi" w:cstheme="majorHAnsi"/>
          <w:color w:val="000000" w:themeColor="text1"/>
        </w:rPr>
        <w:t>reduced by</w:t>
      </w:r>
      <w:r w:rsidRPr="00CA0B6D">
        <w:rPr>
          <w:rFonts w:asciiTheme="majorHAnsi" w:hAnsiTheme="majorHAnsi" w:cstheme="majorHAnsi"/>
          <w:color w:val="000000" w:themeColor="text1"/>
        </w:rPr>
        <w:t xml:space="preserve"> 86.3%</w:t>
      </w:r>
      <w:r w:rsidR="00A8638C" w:rsidRPr="00CA0B6D">
        <w:rPr>
          <w:rFonts w:asciiTheme="majorHAnsi" w:hAnsiTheme="majorHAnsi" w:cstheme="majorHAnsi"/>
          <w:color w:val="000000" w:themeColor="text1"/>
        </w:rPr>
        <w:t>.</w:t>
      </w:r>
    </w:p>
    <w:p w14:paraId="40A76AE2" w14:textId="756A239F" w:rsidR="00694562" w:rsidRPr="00CA0B6D" w:rsidRDefault="000E445B" w:rsidP="00694562">
      <w:pPr>
        <w:jc w:val="both"/>
        <w:rPr>
          <w:rFonts w:asciiTheme="majorHAnsi" w:hAnsiTheme="majorHAnsi" w:cstheme="majorHAnsi"/>
          <w:color w:val="000000" w:themeColor="text1"/>
        </w:rPr>
      </w:pPr>
      <w:r w:rsidRPr="00CA0B6D">
        <w:rPr>
          <w:rFonts w:asciiTheme="majorHAnsi" w:hAnsiTheme="majorHAnsi" w:cstheme="majorHAnsi"/>
          <w:color w:val="000000" w:themeColor="text1"/>
        </w:rPr>
        <w:t xml:space="preserve">For the abiotic stresses </w:t>
      </w:r>
      <w:r w:rsidR="000D578F" w:rsidRPr="00CA0B6D">
        <w:rPr>
          <w:rFonts w:asciiTheme="majorHAnsi" w:hAnsiTheme="majorHAnsi" w:cstheme="majorHAnsi"/>
          <w:color w:val="000000" w:themeColor="text1"/>
        </w:rPr>
        <w:t xml:space="preserve">under the same </w:t>
      </w:r>
      <w:r w:rsidR="00873CBA" w:rsidRPr="00CA0B6D">
        <w:rPr>
          <w:rFonts w:asciiTheme="majorHAnsi" w:hAnsiTheme="majorHAnsi" w:cstheme="majorHAnsi"/>
          <w:color w:val="000000" w:themeColor="text1"/>
        </w:rPr>
        <w:t xml:space="preserve">outcome but </w:t>
      </w:r>
      <w:r w:rsidR="00F62C09" w:rsidRPr="00CA0B6D">
        <w:rPr>
          <w:rFonts w:asciiTheme="majorHAnsi" w:hAnsiTheme="majorHAnsi" w:cstheme="majorHAnsi"/>
          <w:color w:val="000000" w:themeColor="text1"/>
        </w:rPr>
        <w:t xml:space="preserve">looking at </w:t>
      </w:r>
      <w:r w:rsidR="00D65AD1" w:rsidRPr="00CA0B6D">
        <w:rPr>
          <w:rFonts w:asciiTheme="majorHAnsi" w:hAnsiTheme="majorHAnsi" w:cstheme="majorHAnsi"/>
          <w:color w:val="000000" w:themeColor="text1"/>
        </w:rPr>
        <w:t xml:space="preserve">achieving </w:t>
      </w:r>
      <w:r w:rsidR="006D31DA" w:rsidRPr="00CA0B6D">
        <w:rPr>
          <w:rFonts w:asciiTheme="majorHAnsi" w:hAnsiTheme="majorHAnsi" w:cstheme="majorHAnsi"/>
          <w:color w:val="000000" w:themeColor="text1"/>
        </w:rPr>
        <w:t xml:space="preserve">efficacy </w:t>
      </w:r>
      <w:r w:rsidR="008A18EA" w:rsidRPr="00CA0B6D">
        <w:rPr>
          <w:rFonts w:asciiTheme="majorHAnsi" w:hAnsiTheme="majorHAnsi" w:cstheme="majorHAnsi"/>
          <w:color w:val="000000" w:themeColor="text1"/>
        </w:rPr>
        <w:t xml:space="preserve">of resource </w:t>
      </w:r>
      <w:r w:rsidR="00152621" w:rsidRPr="00CA0B6D">
        <w:rPr>
          <w:rFonts w:asciiTheme="majorHAnsi" w:hAnsiTheme="majorHAnsi" w:cstheme="majorHAnsi"/>
          <w:color w:val="000000" w:themeColor="text1"/>
        </w:rPr>
        <w:t xml:space="preserve">use </w:t>
      </w:r>
      <w:r w:rsidR="008A18EA" w:rsidRPr="00CA0B6D">
        <w:rPr>
          <w:rFonts w:asciiTheme="majorHAnsi" w:hAnsiTheme="majorHAnsi" w:cstheme="majorHAnsi"/>
          <w:color w:val="000000" w:themeColor="text1"/>
        </w:rPr>
        <w:t xml:space="preserve">and </w:t>
      </w:r>
      <w:r w:rsidR="00B7696F" w:rsidRPr="00CA0B6D">
        <w:rPr>
          <w:rFonts w:asciiTheme="majorHAnsi" w:hAnsiTheme="majorHAnsi" w:cstheme="majorHAnsi"/>
          <w:color w:val="000000" w:themeColor="text1"/>
        </w:rPr>
        <w:t xml:space="preserve">validating </w:t>
      </w:r>
      <w:r w:rsidR="008A18EA" w:rsidRPr="00CA0B6D">
        <w:rPr>
          <w:rFonts w:asciiTheme="majorHAnsi" w:hAnsiTheme="majorHAnsi" w:cstheme="majorHAnsi"/>
          <w:color w:val="000000" w:themeColor="text1"/>
        </w:rPr>
        <w:t>soil mana</w:t>
      </w:r>
      <w:r w:rsidR="00E02D4E" w:rsidRPr="00CA0B6D">
        <w:rPr>
          <w:rFonts w:asciiTheme="majorHAnsi" w:hAnsiTheme="majorHAnsi" w:cstheme="majorHAnsi"/>
          <w:color w:val="000000" w:themeColor="text1"/>
        </w:rPr>
        <w:t xml:space="preserve">gement </w:t>
      </w:r>
      <w:r w:rsidR="00B7696F" w:rsidRPr="00CA0B6D">
        <w:rPr>
          <w:rFonts w:asciiTheme="majorHAnsi" w:hAnsiTheme="majorHAnsi" w:cstheme="majorHAnsi"/>
          <w:color w:val="000000" w:themeColor="text1"/>
        </w:rPr>
        <w:t>options</w:t>
      </w:r>
      <w:r w:rsidR="00D25DFC" w:rsidRPr="00CA0B6D">
        <w:rPr>
          <w:rFonts w:asciiTheme="majorHAnsi" w:hAnsiTheme="majorHAnsi" w:cstheme="majorHAnsi"/>
          <w:color w:val="000000" w:themeColor="text1"/>
        </w:rPr>
        <w:t xml:space="preserve">, </w:t>
      </w:r>
      <w:r w:rsidR="008B20C6" w:rsidRPr="00CA0B6D">
        <w:rPr>
          <w:rFonts w:asciiTheme="majorHAnsi" w:hAnsiTheme="majorHAnsi" w:cstheme="majorHAnsi"/>
          <w:color w:val="000000" w:themeColor="text1"/>
        </w:rPr>
        <w:t>s</w:t>
      </w:r>
      <w:r w:rsidR="00CA3ABE" w:rsidRPr="00CA0B6D">
        <w:rPr>
          <w:rFonts w:asciiTheme="majorHAnsi" w:hAnsiTheme="majorHAnsi" w:cstheme="majorHAnsi"/>
          <w:color w:val="000000" w:themeColor="text1"/>
        </w:rPr>
        <w:t xml:space="preserve">weet sorghum bagasse was </w:t>
      </w:r>
      <w:r w:rsidR="00091047" w:rsidRPr="00CA0B6D">
        <w:rPr>
          <w:rFonts w:asciiTheme="majorHAnsi" w:hAnsiTheme="majorHAnsi" w:cstheme="majorHAnsi"/>
          <w:color w:val="000000" w:themeColor="text1"/>
        </w:rPr>
        <w:t xml:space="preserve">found </w:t>
      </w:r>
      <w:r w:rsidR="00CA3ABE" w:rsidRPr="00CA0B6D">
        <w:rPr>
          <w:rFonts w:asciiTheme="majorHAnsi" w:hAnsiTheme="majorHAnsi" w:cstheme="majorHAnsi"/>
          <w:color w:val="000000" w:themeColor="text1"/>
        </w:rPr>
        <w:t xml:space="preserve">to decompose </w:t>
      </w:r>
      <w:r w:rsidR="00527A4A" w:rsidRPr="00CA0B6D">
        <w:rPr>
          <w:rFonts w:asciiTheme="majorHAnsi" w:hAnsiTheme="majorHAnsi" w:cstheme="majorHAnsi"/>
          <w:color w:val="000000" w:themeColor="text1"/>
        </w:rPr>
        <w:t>fast</w:t>
      </w:r>
      <w:r w:rsidR="00CA3ABE" w:rsidRPr="00CA0B6D">
        <w:rPr>
          <w:rFonts w:asciiTheme="majorHAnsi" w:hAnsiTheme="majorHAnsi" w:cstheme="majorHAnsi"/>
          <w:color w:val="000000" w:themeColor="text1"/>
        </w:rPr>
        <w:t xml:space="preserve"> and </w:t>
      </w:r>
      <w:r w:rsidR="000A6907" w:rsidRPr="00CA0B6D">
        <w:rPr>
          <w:rFonts w:asciiTheme="majorHAnsi" w:hAnsiTheme="majorHAnsi" w:cstheme="majorHAnsi"/>
          <w:color w:val="000000" w:themeColor="text1"/>
        </w:rPr>
        <w:t>its</w:t>
      </w:r>
      <w:r w:rsidR="00CA3ABE" w:rsidRPr="00CA0B6D">
        <w:rPr>
          <w:rFonts w:asciiTheme="majorHAnsi" w:hAnsiTheme="majorHAnsi" w:cstheme="majorHAnsi"/>
          <w:color w:val="000000" w:themeColor="text1"/>
        </w:rPr>
        <w:t xml:space="preserve"> compost prepared with microbes successfully promoted </w:t>
      </w:r>
      <w:r w:rsidR="00CA3ABE" w:rsidRPr="00CA0B6D">
        <w:rPr>
          <w:rFonts w:asciiTheme="majorHAnsi" w:hAnsiTheme="majorHAnsi" w:cstheme="majorHAnsi"/>
          <w:bCs/>
          <w:color w:val="000000" w:themeColor="text1"/>
        </w:rPr>
        <w:t>plant growth and significantly enhanced yields</w:t>
      </w:r>
      <w:r w:rsidR="00CA3ABE" w:rsidRPr="00CA0B6D">
        <w:rPr>
          <w:rFonts w:asciiTheme="majorHAnsi" w:hAnsiTheme="majorHAnsi" w:cstheme="majorHAnsi"/>
          <w:color w:val="000000" w:themeColor="text1"/>
        </w:rPr>
        <w:t>.</w:t>
      </w:r>
      <w:r w:rsidR="00F3745C" w:rsidRPr="00CA0B6D">
        <w:rPr>
          <w:rFonts w:asciiTheme="majorHAnsi" w:hAnsiTheme="majorHAnsi" w:cstheme="majorHAnsi"/>
          <w:color w:val="000000" w:themeColor="text1"/>
        </w:rPr>
        <w:t xml:space="preserve"> </w:t>
      </w:r>
      <w:r w:rsidR="001251A5" w:rsidRPr="00CA0B6D">
        <w:rPr>
          <w:rFonts w:asciiTheme="majorHAnsi" w:hAnsiTheme="majorHAnsi" w:cstheme="majorHAnsi"/>
          <w:color w:val="000000" w:themeColor="text1"/>
        </w:rPr>
        <w:t xml:space="preserve">Plant </w:t>
      </w:r>
      <w:r w:rsidR="001251A5" w:rsidRPr="00CA0B6D">
        <w:rPr>
          <w:rFonts w:asciiTheme="majorHAnsi" w:hAnsiTheme="majorHAnsi" w:cstheme="majorHAnsi"/>
          <w:bCs/>
          <w:color w:val="000000" w:themeColor="text1"/>
        </w:rPr>
        <w:t>g</w:t>
      </w:r>
      <w:r w:rsidR="00694562" w:rsidRPr="00CA0B6D">
        <w:rPr>
          <w:rFonts w:asciiTheme="majorHAnsi" w:hAnsiTheme="majorHAnsi" w:cstheme="majorHAnsi"/>
          <w:bCs/>
          <w:color w:val="000000" w:themeColor="text1"/>
        </w:rPr>
        <w:t xml:space="preserve">rowth promotion products </w:t>
      </w:r>
      <w:r w:rsidR="00287CE4" w:rsidRPr="00CA0B6D">
        <w:rPr>
          <w:rFonts w:asciiTheme="majorHAnsi" w:hAnsiTheme="majorHAnsi" w:cstheme="majorHAnsi"/>
          <w:bCs/>
          <w:color w:val="000000" w:themeColor="text1"/>
        </w:rPr>
        <w:t>like</w:t>
      </w:r>
      <w:r w:rsidR="00694562" w:rsidRPr="00CA0B6D">
        <w:rPr>
          <w:rFonts w:asciiTheme="majorHAnsi" w:hAnsiTheme="majorHAnsi" w:cstheme="majorHAnsi"/>
          <w:iCs/>
          <w:color w:val="000000" w:themeColor="text1"/>
        </w:rPr>
        <w:t xml:space="preserve"> AMF inoculation </w:t>
      </w:r>
      <w:r w:rsidR="006D460C" w:rsidRPr="00CA0B6D">
        <w:rPr>
          <w:rFonts w:asciiTheme="majorHAnsi" w:hAnsiTheme="majorHAnsi" w:cstheme="majorHAnsi"/>
          <w:iCs/>
          <w:color w:val="000000" w:themeColor="text1"/>
        </w:rPr>
        <w:t xml:space="preserve">proved to be </w:t>
      </w:r>
      <w:r w:rsidR="00912751" w:rsidRPr="00CA0B6D">
        <w:rPr>
          <w:rFonts w:asciiTheme="majorHAnsi" w:hAnsiTheme="majorHAnsi" w:cstheme="majorHAnsi"/>
          <w:iCs/>
          <w:color w:val="000000" w:themeColor="text1"/>
        </w:rPr>
        <w:t xml:space="preserve">effective </w:t>
      </w:r>
      <w:r w:rsidR="00694562" w:rsidRPr="00CA0B6D">
        <w:rPr>
          <w:rFonts w:asciiTheme="majorHAnsi" w:hAnsiTheme="majorHAnsi" w:cstheme="majorHAnsi"/>
          <w:iCs/>
          <w:color w:val="000000" w:themeColor="text1"/>
        </w:rPr>
        <w:t>on striga infection</w:t>
      </w:r>
      <w:r w:rsidR="00385465" w:rsidRPr="00CA0B6D">
        <w:rPr>
          <w:rFonts w:asciiTheme="majorHAnsi" w:hAnsiTheme="majorHAnsi" w:cstheme="majorHAnsi"/>
          <w:iCs/>
          <w:color w:val="000000" w:themeColor="text1"/>
        </w:rPr>
        <w:t xml:space="preserve"> </w:t>
      </w:r>
      <w:r w:rsidR="00A50051" w:rsidRPr="00CA0B6D">
        <w:rPr>
          <w:rFonts w:asciiTheme="majorHAnsi" w:hAnsiTheme="majorHAnsi" w:cstheme="majorHAnsi"/>
          <w:iCs/>
          <w:color w:val="000000" w:themeColor="text1"/>
        </w:rPr>
        <w:t>and</w:t>
      </w:r>
      <w:r w:rsidR="00694562" w:rsidRPr="00CA0B6D">
        <w:rPr>
          <w:rFonts w:asciiTheme="majorHAnsi" w:hAnsiTheme="majorHAnsi" w:cstheme="majorHAnsi"/>
          <w:iCs/>
          <w:color w:val="000000" w:themeColor="text1"/>
        </w:rPr>
        <w:t xml:space="preserve"> yield of </w:t>
      </w:r>
      <w:r w:rsidR="00694562" w:rsidRPr="00CA0B6D">
        <w:rPr>
          <w:rFonts w:asciiTheme="majorHAnsi" w:hAnsiTheme="majorHAnsi" w:cstheme="majorHAnsi"/>
          <w:bCs/>
          <w:iCs/>
          <w:color w:val="000000" w:themeColor="text1"/>
        </w:rPr>
        <w:t>sole-cropped maize and maize-bean intercrops</w:t>
      </w:r>
      <w:r w:rsidR="00912751" w:rsidRPr="00CA0B6D">
        <w:rPr>
          <w:rFonts w:asciiTheme="majorHAnsi" w:hAnsiTheme="majorHAnsi" w:cstheme="majorHAnsi"/>
          <w:bCs/>
          <w:iCs/>
          <w:color w:val="000000" w:themeColor="text1"/>
        </w:rPr>
        <w:t xml:space="preserve"> in Uganda</w:t>
      </w:r>
      <w:r w:rsidR="00385465" w:rsidRPr="00CA0B6D">
        <w:rPr>
          <w:rFonts w:asciiTheme="majorHAnsi" w:hAnsiTheme="majorHAnsi" w:cstheme="majorHAnsi"/>
          <w:bCs/>
          <w:iCs/>
          <w:color w:val="000000" w:themeColor="text1"/>
        </w:rPr>
        <w:t xml:space="preserve">. </w:t>
      </w:r>
      <w:r w:rsidR="001023F4" w:rsidRPr="00CA0B6D">
        <w:rPr>
          <w:rFonts w:asciiTheme="majorHAnsi" w:hAnsiTheme="majorHAnsi" w:cstheme="majorHAnsi"/>
          <w:bCs/>
          <w:iCs/>
          <w:color w:val="000000" w:themeColor="text1"/>
        </w:rPr>
        <w:t>Furthermore</w:t>
      </w:r>
      <w:r w:rsidR="009D7842" w:rsidRPr="00CA0B6D">
        <w:rPr>
          <w:rFonts w:asciiTheme="majorHAnsi" w:hAnsiTheme="majorHAnsi" w:cstheme="majorHAnsi"/>
          <w:bCs/>
          <w:iCs/>
          <w:color w:val="000000" w:themeColor="text1"/>
        </w:rPr>
        <w:t>, f</w:t>
      </w:r>
      <w:r w:rsidR="00694562" w:rsidRPr="00CA0B6D">
        <w:rPr>
          <w:rFonts w:asciiTheme="majorHAnsi" w:hAnsiTheme="majorHAnsi" w:cstheme="majorHAnsi"/>
          <w:color w:val="000000" w:themeColor="text1"/>
        </w:rPr>
        <w:t xml:space="preserve">ive indigenous </w:t>
      </w:r>
      <w:proofErr w:type="spellStart"/>
      <w:r w:rsidR="00694562" w:rsidRPr="00CA0B6D">
        <w:rPr>
          <w:rFonts w:asciiTheme="majorHAnsi" w:hAnsiTheme="majorHAnsi" w:cstheme="majorHAnsi"/>
          <w:i/>
          <w:color w:val="000000" w:themeColor="text1"/>
        </w:rPr>
        <w:t>Bradyrhizobium</w:t>
      </w:r>
      <w:proofErr w:type="spellEnd"/>
      <w:r w:rsidR="00694562" w:rsidRPr="00CA0B6D">
        <w:rPr>
          <w:rFonts w:asciiTheme="majorHAnsi" w:hAnsiTheme="majorHAnsi" w:cstheme="majorHAnsi"/>
          <w:color w:val="000000" w:themeColor="text1"/>
        </w:rPr>
        <w:t xml:space="preserve"> strains </w:t>
      </w:r>
      <w:r w:rsidR="009878C8" w:rsidRPr="00CA0B6D">
        <w:rPr>
          <w:rFonts w:asciiTheme="majorHAnsi" w:hAnsiTheme="majorHAnsi" w:cstheme="majorHAnsi"/>
          <w:color w:val="000000" w:themeColor="text1"/>
        </w:rPr>
        <w:t xml:space="preserve">were evaluated </w:t>
      </w:r>
      <w:r w:rsidR="00694562" w:rsidRPr="00CA0B6D">
        <w:rPr>
          <w:rFonts w:asciiTheme="majorHAnsi" w:hAnsiTheme="majorHAnsi" w:cstheme="majorHAnsi"/>
          <w:color w:val="000000" w:themeColor="text1"/>
        </w:rPr>
        <w:t>on soybean</w:t>
      </w:r>
      <w:r w:rsidR="009D7842" w:rsidRPr="00CA0B6D">
        <w:rPr>
          <w:rFonts w:asciiTheme="majorHAnsi" w:hAnsiTheme="majorHAnsi" w:cstheme="majorHAnsi"/>
          <w:color w:val="000000" w:themeColor="text1"/>
        </w:rPr>
        <w:t xml:space="preserve"> and </w:t>
      </w:r>
      <w:r w:rsidR="00694562" w:rsidRPr="00CA0B6D">
        <w:rPr>
          <w:rFonts w:asciiTheme="majorHAnsi" w:hAnsiTheme="majorHAnsi" w:cstheme="majorHAnsi"/>
          <w:color w:val="000000" w:themeColor="text1"/>
        </w:rPr>
        <w:t xml:space="preserve">showed promising results with decreasing striga population and increasing </w:t>
      </w:r>
      <w:r w:rsidR="00694562" w:rsidRPr="00CA0B6D">
        <w:rPr>
          <w:rFonts w:asciiTheme="majorHAnsi" w:hAnsiTheme="majorHAnsi" w:cstheme="majorHAnsi"/>
          <w:color w:val="000000" w:themeColor="text1"/>
          <w:lang w:val="en-GB"/>
        </w:rPr>
        <w:t>biomass and grain yields</w:t>
      </w:r>
      <w:r w:rsidR="006B5E8D" w:rsidRPr="00CA0B6D">
        <w:rPr>
          <w:rFonts w:asciiTheme="majorHAnsi" w:hAnsiTheme="majorHAnsi" w:cstheme="majorHAnsi"/>
          <w:color w:val="000000" w:themeColor="text1"/>
          <w:lang w:val="en-GB"/>
        </w:rPr>
        <w:t xml:space="preserve"> in Mozambique</w:t>
      </w:r>
      <w:r w:rsidR="00694562" w:rsidRPr="00CA0B6D">
        <w:rPr>
          <w:rFonts w:asciiTheme="majorHAnsi" w:hAnsiTheme="majorHAnsi" w:cstheme="majorHAnsi"/>
          <w:color w:val="000000" w:themeColor="text1"/>
          <w:lang w:val="en-GB"/>
        </w:rPr>
        <w:t>.</w:t>
      </w:r>
    </w:p>
    <w:p w14:paraId="4C992F19" w14:textId="21A8771D" w:rsidR="00CA73DC" w:rsidRDefault="00CA73DC" w:rsidP="006E40C8">
      <w:pPr>
        <w:jc w:val="both"/>
        <w:rPr>
          <w:rFonts w:asciiTheme="majorHAnsi" w:hAnsiTheme="majorHAnsi" w:cstheme="majorHAnsi"/>
        </w:rPr>
      </w:pPr>
    </w:p>
    <w:p w14:paraId="7C1F81B6" w14:textId="2E3A1CF8" w:rsidR="00CA73DC" w:rsidRPr="005D0436" w:rsidRDefault="00724785" w:rsidP="005D0436">
      <w:pPr>
        <w:jc w:val="both"/>
        <w:rPr>
          <w:rFonts w:asciiTheme="majorHAnsi" w:hAnsiTheme="majorHAnsi" w:cstheme="majorHAnsi"/>
        </w:rPr>
      </w:pPr>
      <w:r>
        <w:rPr>
          <w:rFonts w:asciiTheme="majorHAnsi" w:hAnsiTheme="majorHAnsi" w:cstheme="majorHAnsi"/>
        </w:rPr>
        <w:t xml:space="preserve">CoA3.2 </w:t>
      </w:r>
      <w:r w:rsidR="00DB0FA9">
        <w:rPr>
          <w:rFonts w:asciiTheme="majorHAnsi" w:hAnsiTheme="majorHAnsi" w:cstheme="majorHAnsi"/>
        </w:rPr>
        <w:t xml:space="preserve">outcome for 2019 is about </w:t>
      </w:r>
      <w:r w:rsidR="00D272D6">
        <w:rPr>
          <w:rFonts w:asciiTheme="majorHAnsi" w:hAnsiTheme="majorHAnsi" w:cstheme="majorHAnsi"/>
        </w:rPr>
        <w:t>sustainably intensified and diversi</w:t>
      </w:r>
      <w:r w:rsidR="00851894">
        <w:rPr>
          <w:rFonts w:asciiTheme="majorHAnsi" w:hAnsiTheme="majorHAnsi" w:cstheme="majorHAnsi"/>
        </w:rPr>
        <w:t xml:space="preserve">fied </w:t>
      </w:r>
      <w:r w:rsidR="00CA7199">
        <w:rPr>
          <w:rFonts w:asciiTheme="majorHAnsi" w:hAnsiTheme="majorHAnsi" w:cstheme="majorHAnsi"/>
        </w:rPr>
        <w:t>cropping</w:t>
      </w:r>
      <w:r w:rsidR="00B270FB">
        <w:rPr>
          <w:rFonts w:asciiTheme="majorHAnsi" w:hAnsiTheme="majorHAnsi" w:cstheme="majorHAnsi"/>
        </w:rPr>
        <w:t xml:space="preserve"> </w:t>
      </w:r>
      <w:r w:rsidR="00A221A9">
        <w:rPr>
          <w:rFonts w:asciiTheme="majorHAnsi" w:hAnsiTheme="majorHAnsi" w:cstheme="majorHAnsi"/>
        </w:rPr>
        <w:t xml:space="preserve">systems </w:t>
      </w:r>
      <w:r w:rsidR="00B270FB">
        <w:rPr>
          <w:rFonts w:asciiTheme="majorHAnsi" w:hAnsiTheme="majorHAnsi" w:cstheme="majorHAnsi"/>
        </w:rPr>
        <w:t xml:space="preserve">with </w:t>
      </w:r>
      <w:r w:rsidR="00307867">
        <w:rPr>
          <w:rFonts w:asciiTheme="majorHAnsi" w:hAnsiTheme="majorHAnsi" w:cstheme="majorHAnsi"/>
        </w:rPr>
        <w:t>6</w:t>
      </w:r>
      <w:r w:rsidR="00B270FB">
        <w:rPr>
          <w:rFonts w:asciiTheme="majorHAnsi" w:hAnsiTheme="majorHAnsi" w:cstheme="majorHAnsi"/>
        </w:rPr>
        <w:t xml:space="preserve"> mil</w:t>
      </w:r>
      <w:r w:rsidR="002540A1">
        <w:rPr>
          <w:rFonts w:asciiTheme="majorHAnsi" w:hAnsiTheme="majorHAnsi" w:cstheme="majorHAnsi"/>
        </w:rPr>
        <w:t>estones</w:t>
      </w:r>
      <w:r w:rsidR="00140DD1">
        <w:rPr>
          <w:rFonts w:asciiTheme="majorHAnsi" w:hAnsiTheme="majorHAnsi" w:cstheme="majorHAnsi"/>
        </w:rPr>
        <w:t xml:space="preserve"> </w:t>
      </w:r>
      <w:r w:rsidR="00AB27F5">
        <w:rPr>
          <w:rFonts w:asciiTheme="majorHAnsi" w:hAnsiTheme="majorHAnsi" w:cstheme="majorHAnsi"/>
        </w:rPr>
        <w:t xml:space="preserve">(Table 5) </w:t>
      </w:r>
      <w:r w:rsidR="00140DD1">
        <w:rPr>
          <w:rFonts w:asciiTheme="majorHAnsi" w:hAnsiTheme="majorHAnsi" w:cstheme="majorHAnsi"/>
        </w:rPr>
        <w:t xml:space="preserve">which have been addressed </w:t>
      </w:r>
      <w:r w:rsidR="001C41C6">
        <w:rPr>
          <w:rFonts w:asciiTheme="majorHAnsi" w:hAnsiTheme="majorHAnsi" w:cstheme="majorHAnsi"/>
        </w:rPr>
        <w:t>th</w:t>
      </w:r>
      <w:r w:rsidR="005460FF">
        <w:rPr>
          <w:rFonts w:asciiTheme="majorHAnsi" w:hAnsiTheme="majorHAnsi" w:cstheme="majorHAnsi"/>
        </w:rPr>
        <w:t>rough</w:t>
      </w:r>
      <w:r w:rsidR="006E0588">
        <w:rPr>
          <w:rFonts w:asciiTheme="majorHAnsi" w:hAnsiTheme="majorHAnsi" w:cstheme="majorHAnsi"/>
        </w:rPr>
        <w:t xml:space="preserve"> </w:t>
      </w:r>
      <w:r w:rsidR="003F4202">
        <w:rPr>
          <w:rFonts w:asciiTheme="majorHAnsi" w:hAnsiTheme="majorHAnsi" w:cstheme="majorHAnsi"/>
        </w:rPr>
        <w:t xml:space="preserve">developing </w:t>
      </w:r>
      <w:r w:rsidR="00140DD1">
        <w:rPr>
          <w:rFonts w:asciiTheme="majorHAnsi" w:hAnsiTheme="majorHAnsi" w:cstheme="majorHAnsi"/>
        </w:rPr>
        <w:t xml:space="preserve">crop production systems and </w:t>
      </w:r>
      <w:r w:rsidR="00B750A9">
        <w:rPr>
          <w:rFonts w:asciiTheme="majorHAnsi" w:hAnsiTheme="majorHAnsi" w:cstheme="majorHAnsi"/>
        </w:rPr>
        <w:t>decision support tools.</w:t>
      </w:r>
      <w:r w:rsidR="005D0436">
        <w:rPr>
          <w:rFonts w:asciiTheme="majorHAnsi" w:hAnsiTheme="majorHAnsi" w:cstheme="majorHAnsi"/>
        </w:rPr>
        <w:t xml:space="preserve"> Thus, </w:t>
      </w:r>
      <w:r w:rsidR="005D0436">
        <w:rPr>
          <w:rFonts w:asciiTheme="majorHAnsi" w:hAnsiTheme="majorHAnsi" w:cstheme="majorHAnsi"/>
          <w:color w:val="000000" w:themeColor="text1"/>
        </w:rPr>
        <w:t>l</w:t>
      </w:r>
      <w:r w:rsidR="00C7627F" w:rsidRPr="00CA0B6D">
        <w:rPr>
          <w:rFonts w:asciiTheme="majorHAnsi" w:hAnsiTheme="majorHAnsi" w:cstheme="majorHAnsi"/>
          <w:color w:val="000000" w:themeColor="text1"/>
        </w:rPr>
        <w:t xml:space="preserve">arge screening </w:t>
      </w:r>
      <w:r w:rsidR="005A33E3" w:rsidRPr="00CA0B6D">
        <w:rPr>
          <w:rFonts w:asciiTheme="majorHAnsi" w:hAnsiTheme="majorHAnsi" w:cstheme="majorHAnsi"/>
          <w:color w:val="000000" w:themeColor="text1"/>
        </w:rPr>
        <w:t xml:space="preserve">of </w:t>
      </w:r>
      <w:r w:rsidR="005C6182" w:rsidRPr="00CA0B6D">
        <w:rPr>
          <w:rFonts w:asciiTheme="majorHAnsi" w:hAnsiTheme="majorHAnsi" w:cstheme="majorHAnsi"/>
          <w:color w:val="000000" w:themeColor="text1"/>
        </w:rPr>
        <w:t xml:space="preserve">crop varieties </w:t>
      </w:r>
      <w:r w:rsidR="00237F3D" w:rsidRPr="00CA0B6D">
        <w:rPr>
          <w:rFonts w:asciiTheme="majorHAnsi" w:hAnsiTheme="majorHAnsi" w:cstheme="majorHAnsi"/>
          <w:color w:val="000000" w:themeColor="text1"/>
        </w:rPr>
        <w:t xml:space="preserve">for </w:t>
      </w:r>
      <w:r w:rsidR="00237F3D" w:rsidRPr="00CA0B6D">
        <w:rPr>
          <w:rFonts w:asciiTheme="majorHAnsi" w:hAnsiTheme="majorHAnsi" w:cstheme="majorHAnsi"/>
          <w:color w:val="000000" w:themeColor="text1"/>
        </w:rPr>
        <w:lastRenderedPageBreak/>
        <w:t>inte</w:t>
      </w:r>
      <w:r w:rsidR="007D106A" w:rsidRPr="00CA0B6D">
        <w:rPr>
          <w:rFonts w:asciiTheme="majorHAnsi" w:hAnsiTheme="majorHAnsi" w:cstheme="majorHAnsi"/>
          <w:color w:val="000000" w:themeColor="text1"/>
        </w:rPr>
        <w:t>rcropping</w:t>
      </w:r>
      <w:r w:rsidR="00F02E45" w:rsidRPr="00CA0B6D">
        <w:rPr>
          <w:rFonts w:asciiTheme="majorHAnsi" w:hAnsiTheme="majorHAnsi" w:cstheme="majorHAnsi"/>
          <w:color w:val="000000" w:themeColor="text1"/>
        </w:rPr>
        <w:t xml:space="preserve"> </w:t>
      </w:r>
      <w:r w:rsidR="00B35F1D" w:rsidRPr="00CA0B6D">
        <w:rPr>
          <w:rFonts w:asciiTheme="majorHAnsi" w:hAnsiTheme="majorHAnsi" w:cstheme="majorHAnsi"/>
          <w:color w:val="000000" w:themeColor="text1"/>
        </w:rPr>
        <w:t xml:space="preserve">was conducted </w:t>
      </w:r>
      <w:r w:rsidR="006021E5">
        <w:rPr>
          <w:rFonts w:asciiTheme="majorHAnsi" w:hAnsiTheme="majorHAnsi" w:cstheme="majorHAnsi"/>
          <w:color w:val="000000" w:themeColor="text1"/>
        </w:rPr>
        <w:t>in</w:t>
      </w:r>
      <w:r w:rsidR="006021E5" w:rsidRPr="00CA0B6D">
        <w:rPr>
          <w:rFonts w:asciiTheme="majorHAnsi" w:hAnsiTheme="majorHAnsi" w:cstheme="majorHAnsi"/>
          <w:color w:val="000000" w:themeColor="text1"/>
        </w:rPr>
        <w:t xml:space="preserve"> </w:t>
      </w:r>
      <w:r w:rsidR="00B35F1D" w:rsidRPr="00CA0B6D">
        <w:rPr>
          <w:rFonts w:asciiTheme="majorHAnsi" w:hAnsiTheme="majorHAnsi" w:cstheme="majorHAnsi"/>
          <w:color w:val="000000" w:themeColor="text1"/>
        </w:rPr>
        <w:t xml:space="preserve">various </w:t>
      </w:r>
      <w:proofErr w:type="spellStart"/>
      <w:r w:rsidR="00F02E45" w:rsidRPr="00CA0B6D">
        <w:rPr>
          <w:rFonts w:asciiTheme="majorHAnsi" w:hAnsiTheme="majorHAnsi" w:cstheme="majorHAnsi"/>
          <w:color w:val="000000" w:themeColor="text1"/>
        </w:rPr>
        <w:t>agro</w:t>
      </w:r>
      <w:proofErr w:type="spellEnd"/>
      <w:r w:rsidR="00F02E45" w:rsidRPr="00CA0B6D">
        <w:rPr>
          <w:rFonts w:asciiTheme="majorHAnsi" w:hAnsiTheme="majorHAnsi" w:cstheme="majorHAnsi"/>
          <w:color w:val="000000" w:themeColor="text1"/>
        </w:rPr>
        <w:t>-ecologie</w:t>
      </w:r>
      <w:r w:rsidR="00ED2B78" w:rsidRPr="00CA0B6D">
        <w:rPr>
          <w:rFonts w:asciiTheme="majorHAnsi" w:hAnsiTheme="majorHAnsi" w:cstheme="majorHAnsi"/>
          <w:color w:val="000000" w:themeColor="text1"/>
        </w:rPr>
        <w:t>s</w:t>
      </w:r>
      <w:r w:rsidR="00F02E45" w:rsidRPr="00CA0B6D">
        <w:rPr>
          <w:rFonts w:asciiTheme="majorHAnsi" w:hAnsiTheme="majorHAnsi" w:cstheme="majorHAnsi"/>
          <w:color w:val="000000" w:themeColor="text1"/>
        </w:rPr>
        <w:t xml:space="preserve">. </w:t>
      </w:r>
      <w:r w:rsidR="00A42619" w:rsidRPr="00CA0B6D">
        <w:rPr>
          <w:rFonts w:asciiTheme="majorHAnsi" w:hAnsiTheme="majorHAnsi" w:cstheme="majorHAnsi"/>
          <w:color w:val="000000" w:themeColor="text1"/>
        </w:rPr>
        <w:t xml:space="preserve">Main activities </w:t>
      </w:r>
      <w:r w:rsidR="006021E5">
        <w:rPr>
          <w:rFonts w:asciiTheme="majorHAnsi" w:hAnsiTheme="majorHAnsi" w:cstheme="majorHAnsi"/>
          <w:color w:val="000000" w:themeColor="text1"/>
        </w:rPr>
        <w:t xml:space="preserve">involved </w:t>
      </w:r>
      <w:r w:rsidR="00CA73DC" w:rsidRPr="00CA0B6D">
        <w:rPr>
          <w:rFonts w:asciiTheme="majorHAnsi" w:hAnsiTheme="majorHAnsi" w:cstheme="majorHAnsi"/>
          <w:color w:val="000000" w:themeColor="text1"/>
        </w:rPr>
        <w:t xml:space="preserve">32 soybean varieties from across Africa evaluated </w:t>
      </w:r>
      <w:r w:rsidR="0003610E" w:rsidRPr="00CA0B6D">
        <w:rPr>
          <w:rFonts w:asciiTheme="majorHAnsi" w:hAnsiTheme="majorHAnsi" w:cstheme="majorHAnsi"/>
          <w:color w:val="000000" w:themeColor="text1"/>
        </w:rPr>
        <w:t>in Mozambique</w:t>
      </w:r>
      <w:r w:rsidR="00AA5FC1" w:rsidRPr="00CA0B6D">
        <w:rPr>
          <w:rFonts w:asciiTheme="majorHAnsi" w:hAnsiTheme="majorHAnsi" w:cstheme="majorHAnsi"/>
          <w:color w:val="000000" w:themeColor="text1"/>
        </w:rPr>
        <w:t xml:space="preserve">, </w:t>
      </w:r>
      <w:r w:rsidR="006021E5">
        <w:rPr>
          <w:rFonts w:asciiTheme="majorHAnsi" w:hAnsiTheme="majorHAnsi" w:cstheme="majorHAnsi"/>
          <w:color w:val="000000" w:themeColor="text1"/>
        </w:rPr>
        <w:t xml:space="preserve">cowpea varieties evaluated in Malawi, </w:t>
      </w:r>
      <w:r w:rsidR="001810FA" w:rsidRPr="00CA0B6D">
        <w:rPr>
          <w:rFonts w:asciiTheme="majorHAnsi" w:hAnsiTheme="majorHAnsi" w:cstheme="majorHAnsi"/>
          <w:color w:val="000000" w:themeColor="text1"/>
        </w:rPr>
        <w:t xml:space="preserve">best fit groundnut and pigeon pea varieties </w:t>
      </w:r>
      <w:r w:rsidR="004867EA" w:rsidRPr="00CA0B6D">
        <w:rPr>
          <w:rFonts w:asciiTheme="majorHAnsi" w:hAnsiTheme="majorHAnsi" w:cstheme="majorHAnsi"/>
          <w:color w:val="000000" w:themeColor="text1"/>
        </w:rPr>
        <w:t xml:space="preserve">in </w:t>
      </w:r>
      <w:r w:rsidR="006021E5">
        <w:rPr>
          <w:rFonts w:asciiTheme="majorHAnsi" w:hAnsiTheme="majorHAnsi" w:cstheme="majorHAnsi"/>
          <w:color w:val="000000" w:themeColor="text1"/>
        </w:rPr>
        <w:t xml:space="preserve">Malawi </w:t>
      </w:r>
      <w:r w:rsidR="00307867">
        <w:rPr>
          <w:rFonts w:asciiTheme="majorHAnsi" w:hAnsiTheme="majorHAnsi" w:cstheme="majorHAnsi"/>
          <w:color w:val="000000" w:themeColor="text1"/>
        </w:rPr>
        <w:t xml:space="preserve">and </w:t>
      </w:r>
      <w:r w:rsidR="004867EA" w:rsidRPr="00CA0B6D">
        <w:rPr>
          <w:rFonts w:asciiTheme="majorHAnsi" w:hAnsiTheme="majorHAnsi" w:cstheme="majorHAnsi"/>
          <w:color w:val="000000" w:themeColor="text1"/>
        </w:rPr>
        <w:t>Ind</w:t>
      </w:r>
      <w:r w:rsidR="005832D6" w:rsidRPr="00CA0B6D">
        <w:rPr>
          <w:rFonts w:asciiTheme="majorHAnsi" w:hAnsiTheme="majorHAnsi" w:cstheme="majorHAnsi"/>
          <w:color w:val="000000" w:themeColor="text1"/>
        </w:rPr>
        <w:t>i</w:t>
      </w:r>
      <w:r w:rsidR="004867EA" w:rsidRPr="00CA0B6D">
        <w:rPr>
          <w:rFonts w:asciiTheme="majorHAnsi" w:hAnsiTheme="majorHAnsi" w:cstheme="majorHAnsi"/>
          <w:color w:val="000000" w:themeColor="text1"/>
        </w:rPr>
        <w:t>a</w:t>
      </w:r>
      <w:r w:rsidR="00DB2C56" w:rsidRPr="00CA0B6D">
        <w:rPr>
          <w:rFonts w:asciiTheme="majorHAnsi" w:hAnsiTheme="majorHAnsi" w:cstheme="majorHAnsi"/>
          <w:color w:val="000000" w:themeColor="text1"/>
        </w:rPr>
        <w:t xml:space="preserve">, </w:t>
      </w:r>
      <w:r w:rsidR="00144BF0" w:rsidRPr="00CA0B6D">
        <w:rPr>
          <w:rFonts w:asciiTheme="majorHAnsi" w:hAnsiTheme="majorHAnsi" w:cstheme="majorHAnsi"/>
          <w:color w:val="000000" w:themeColor="text1"/>
        </w:rPr>
        <w:t xml:space="preserve">and cowpea </w:t>
      </w:r>
      <w:r w:rsidR="00DB2C56" w:rsidRPr="00CA0B6D">
        <w:rPr>
          <w:rFonts w:asciiTheme="majorHAnsi" w:hAnsiTheme="majorHAnsi" w:cstheme="majorHAnsi"/>
          <w:color w:val="000000" w:themeColor="text1"/>
        </w:rPr>
        <w:t>varieties intercrop</w:t>
      </w:r>
      <w:r w:rsidR="00EA1873" w:rsidRPr="00CA0B6D">
        <w:rPr>
          <w:rFonts w:asciiTheme="majorHAnsi" w:hAnsiTheme="majorHAnsi" w:cstheme="majorHAnsi"/>
          <w:color w:val="000000" w:themeColor="text1"/>
        </w:rPr>
        <w:t>ped</w:t>
      </w:r>
      <w:r w:rsidR="00DB2C56" w:rsidRPr="00CA0B6D">
        <w:rPr>
          <w:rFonts w:asciiTheme="majorHAnsi" w:hAnsiTheme="majorHAnsi" w:cstheme="majorHAnsi"/>
          <w:color w:val="000000" w:themeColor="text1"/>
        </w:rPr>
        <w:t xml:space="preserve"> with local sorghum in Burkina Faso. </w:t>
      </w:r>
      <w:r w:rsidR="00DC6CB7">
        <w:rPr>
          <w:rFonts w:asciiTheme="majorHAnsi" w:hAnsiTheme="majorHAnsi" w:cstheme="majorHAnsi"/>
          <w:color w:val="000000" w:themeColor="text1"/>
        </w:rPr>
        <w:t>To create awareness and promote technologies</w:t>
      </w:r>
      <w:r w:rsidR="00CA25BE">
        <w:rPr>
          <w:rFonts w:asciiTheme="majorHAnsi" w:hAnsiTheme="majorHAnsi" w:cstheme="majorHAnsi"/>
          <w:color w:val="000000" w:themeColor="text1"/>
        </w:rPr>
        <w:t>,</w:t>
      </w:r>
      <w:r w:rsidR="00DC6CB7">
        <w:rPr>
          <w:rFonts w:asciiTheme="majorHAnsi" w:hAnsiTheme="majorHAnsi" w:cstheme="majorHAnsi"/>
          <w:color w:val="000000" w:themeColor="text1"/>
        </w:rPr>
        <w:t xml:space="preserve"> </w:t>
      </w:r>
      <w:r w:rsidR="00444521" w:rsidRPr="00CA0B6D">
        <w:rPr>
          <w:rFonts w:asciiTheme="majorHAnsi" w:hAnsiTheme="majorHAnsi" w:cstheme="majorHAnsi"/>
          <w:bCs/>
          <w:color w:val="000000" w:themeColor="text1"/>
        </w:rPr>
        <w:t>236</w:t>
      </w:r>
      <w:r w:rsidR="00444521" w:rsidRPr="00CA0B6D">
        <w:rPr>
          <w:rFonts w:asciiTheme="majorHAnsi" w:hAnsiTheme="majorHAnsi" w:cstheme="majorHAnsi"/>
          <w:b/>
          <w:bCs/>
          <w:color w:val="000000" w:themeColor="text1"/>
        </w:rPr>
        <w:t xml:space="preserve"> </w:t>
      </w:r>
      <w:r w:rsidR="00444521" w:rsidRPr="00CA0B6D">
        <w:rPr>
          <w:rFonts w:asciiTheme="majorHAnsi" w:hAnsiTheme="majorHAnsi" w:cstheme="majorHAnsi"/>
          <w:color w:val="000000" w:themeColor="text1"/>
        </w:rPr>
        <w:t xml:space="preserve">soybean </w:t>
      </w:r>
      <w:r w:rsidR="00DC6CB7">
        <w:rPr>
          <w:rFonts w:asciiTheme="majorHAnsi" w:hAnsiTheme="majorHAnsi" w:cstheme="majorHAnsi"/>
          <w:color w:val="000000" w:themeColor="text1"/>
        </w:rPr>
        <w:t xml:space="preserve">and 185 cowpea demonstration plots on </w:t>
      </w:r>
      <w:r w:rsidR="00444521" w:rsidRPr="00CA0B6D">
        <w:rPr>
          <w:rFonts w:asciiTheme="majorHAnsi" w:hAnsiTheme="majorHAnsi" w:cstheme="majorHAnsi"/>
          <w:color w:val="000000" w:themeColor="text1"/>
        </w:rPr>
        <w:t xml:space="preserve">varieties and inputs </w:t>
      </w:r>
      <w:r w:rsidR="00DC6CB7">
        <w:rPr>
          <w:rFonts w:asciiTheme="majorHAnsi" w:hAnsiTheme="majorHAnsi" w:cstheme="majorHAnsi"/>
          <w:color w:val="000000" w:themeColor="text1"/>
        </w:rPr>
        <w:t xml:space="preserve">were established </w:t>
      </w:r>
      <w:r w:rsidR="00444521" w:rsidRPr="00CA0B6D">
        <w:rPr>
          <w:rFonts w:asciiTheme="majorHAnsi" w:hAnsiTheme="majorHAnsi" w:cstheme="majorHAnsi"/>
          <w:color w:val="000000" w:themeColor="text1"/>
        </w:rPr>
        <w:t>on farmers’ fields</w:t>
      </w:r>
      <w:r w:rsidR="00CE05AC">
        <w:rPr>
          <w:rFonts w:asciiTheme="majorHAnsi" w:hAnsiTheme="majorHAnsi" w:cstheme="majorHAnsi"/>
          <w:color w:val="000000" w:themeColor="text1"/>
        </w:rPr>
        <w:t xml:space="preserve">. </w:t>
      </w:r>
      <w:r w:rsidR="00CE05AC" w:rsidRPr="00CE05AC">
        <w:rPr>
          <w:rFonts w:asciiTheme="majorHAnsi" w:hAnsiTheme="majorHAnsi" w:cstheme="majorHAnsi"/>
          <w:color w:val="000000"/>
        </w:rPr>
        <w:t>Thirty–six percent of the farmers who hosted the soybean demos were women, whereas women constitute 39% of those who hosted the cowpea demonstration plots.</w:t>
      </w:r>
      <w:r w:rsidR="00444521" w:rsidRPr="00CE05AC">
        <w:rPr>
          <w:rFonts w:ascii="Calibri Light" w:hAnsi="Calibri Light" w:cs="Calibri Light"/>
          <w:color w:val="000000" w:themeColor="text1"/>
        </w:rPr>
        <w:t xml:space="preserve"> </w:t>
      </w:r>
      <w:r w:rsidR="001810FA" w:rsidRPr="00CA0B6D">
        <w:rPr>
          <w:rFonts w:asciiTheme="majorHAnsi" w:hAnsiTheme="majorHAnsi" w:cstheme="majorHAnsi"/>
          <w:color w:val="000000" w:themeColor="text1"/>
        </w:rPr>
        <w:t>‘</w:t>
      </w:r>
      <w:r w:rsidR="00CE05AC">
        <w:rPr>
          <w:rFonts w:asciiTheme="majorHAnsi" w:hAnsiTheme="majorHAnsi" w:cstheme="majorHAnsi"/>
          <w:color w:val="000000" w:themeColor="text1"/>
        </w:rPr>
        <w:t>O</w:t>
      </w:r>
      <w:r w:rsidR="001810FA" w:rsidRPr="00CA0B6D">
        <w:rPr>
          <w:rFonts w:asciiTheme="majorHAnsi" w:hAnsiTheme="majorHAnsi" w:cstheme="majorHAnsi"/>
          <w:color w:val="000000" w:themeColor="text1"/>
        </w:rPr>
        <w:t>ptimal’ doubled up legume systems</w:t>
      </w:r>
      <w:r w:rsidR="0030426C" w:rsidRPr="00CA0B6D">
        <w:rPr>
          <w:rFonts w:asciiTheme="majorHAnsi" w:hAnsiTheme="majorHAnsi" w:cstheme="majorHAnsi"/>
          <w:color w:val="000000" w:themeColor="text1"/>
        </w:rPr>
        <w:t xml:space="preserve"> </w:t>
      </w:r>
      <w:r w:rsidR="00CE05AC">
        <w:rPr>
          <w:rFonts w:asciiTheme="majorHAnsi" w:hAnsiTheme="majorHAnsi" w:cstheme="majorHAnsi"/>
          <w:color w:val="000000" w:themeColor="text1"/>
        </w:rPr>
        <w:t xml:space="preserve">were established </w:t>
      </w:r>
      <w:r w:rsidR="0030426C" w:rsidRPr="00CA0B6D">
        <w:rPr>
          <w:rFonts w:asciiTheme="majorHAnsi" w:hAnsiTheme="majorHAnsi" w:cstheme="majorHAnsi"/>
          <w:color w:val="000000" w:themeColor="text1"/>
        </w:rPr>
        <w:t>to train</w:t>
      </w:r>
      <w:r w:rsidR="001810FA" w:rsidRPr="00CA0B6D">
        <w:rPr>
          <w:rFonts w:asciiTheme="majorHAnsi" w:hAnsiTheme="majorHAnsi" w:cstheme="majorHAnsi"/>
          <w:color w:val="000000" w:themeColor="text1"/>
        </w:rPr>
        <w:t xml:space="preserve"> 98 master trainers </w:t>
      </w:r>
      <w:r w:rsidR="007A19BC" w:rsidRPr="00CA0B6D">
        <w:rPr>
          <w:rFonts w:asciiTheme="majorHAnsi" w:hAnsiTheme="majorHAnsi" w:cstheme="majorHAnsi"/>
          <w:color w:val="000000" w:themeColor="text1"/>
        </w:rPr>
        <w:t>(</w:t>
      </w:r>
      <w:r w:rsidR="001810FA" w:rsidRPr="00CA0B6D">
        <w:rPr>
          <w:rFonts w:asciiTheme="majorHAnsi" w:hAnsiTheme="majorHAnsi" w:cstheme="majorHAnsi"/>
          <w:color w:val="000000" w:themeColor="text1"/>
        </w:rPr>
        <w:t xml:space="preserve">28 </w:t>
      </w:r>
      <w:r w:rsidR="007A19BC" w:rsidRPr="00CA0B6D">
        <w:rPr>
          <w:rFonts w:asciiTheme="majorHAnsi" w:hAnsiTheme="majorHAnsi" w:cstheme="majorHAnsi"/>
          <w:color w:val="000000" w:themeColor="text1"/>
        </w:rPr>
        <w:t>females)</w:t>
      </w:r>
      <w:r w:rsidR="001810FA" w:rsidRPr="00CA0B6D">
        <w:rPr>
          <w:rFonts w:asciiTheme="majorHAnsi" w:hAnsiTheme="majorHAnsi" w:cstheme="majorHAnsi"/>
          <w:color w:val="000000" w:themeColor="text1"/>
        </w:rPr>
        <w:t xml:space="preserve"> </w:t>
      </w:r>
      <w:r w:rsidR="0030426C" w:rsidRPr="00CA0B6D">
        <w:rPr>
          <w:rFonts w:asciiTheme="majorHAnsi" w:hAnsiTheme="majorHAnsi" w:cstheme="majorHAnsi"/>
          <w:color w:val="000000" w:themeColor="text1"/>
        </w:rPr>
        <w:t>in</w:t>
      </w:r>
      <w:r w:rsidR="001E5830" w:rsidRPr="00CA0B6D">
        <w:rPr>
          <w:rFonts w:asciiTheme="majorHAnsi" w:hAnsiTheme="majorHAnsi" w:cstheme="majorHAnsi"/>
          <w:color w:val="000000" w:themeColor="text1"/>
        </w:rPr>
        <w:t xml:space="preserve"> </w:t>
      </w:r>
      <w:r w:rsidR="001810FA" w:rsidRPr="00CA0B6D">
        <w:rPr>
          <w:rFonts w:asciiTheme="majorHAnsi" w:hAnsiTheme="majorHAnsi" w:cstheme="majorHAnsi"/>
          <w:color w:val="000000" w:themeColor="text1"/>
        </w:rPr>
        <w:t>Malawi.</w:t>
      </w:r>
      <w:r w:rsidR="005007A2" w:rsidRPr="00CA0B6D">
        <w:rPr>
          <w:rFonts w:asciiTheme="majorHAnsi" w:hAnsiTheme="majorHAnsi" w:cstheme="majorHAnsi"/>
          <w:color w:val="000000" w:themeColor="text1"/>
        </w:rPr>
        <w:t xml:space="preserve"> </w:t>
      </w:r>
      <w:r w:rsidR="00094CEB" w:rsidRPr="00CA0B6D">
        <w:rPr>
          <w:rFonts w:asciiTheme="majorHAnsi" w:hAnsiTheme="majorHAnsi" w:cstheme="majorHAnsi"/>
          <w:color w:val="000000" w:themeColor="text1"/>
        </w:rPr>
        <w:t xml:space="preserve">Tested intercrop options included </w:t>
      </w:r>
      <w:r w:rsidR="007C4A33" w:rsidRPr="00CA0B6D">
        <w:rPr>
          <w:rFonts w:asciiTheme="majorHAnsi" w:hAnsiTheme="majorHAnsi" w:cstheme="majorHAnsi"/>
          <w:color w:val="000000" w:themeColor="text1"/>
        </w:rPr>
        <w:t xml:space="preserve">2:1 maize-cowpea </w:t>
      </w:r>
      <w:r w:rsidR="00E667E5" w:rsidRPr="00CA0B6D">
        <w:rPr>
          <w:rFonts w:asciiTheme="majorHAnsi" w:hAnsiTheme="majorHAnsi" w:cstheme="majorHAnsi"/>
          <w:color w:val="000000" w:themeColor="text1"/>
        </w:rPr>
        <w:t>versus 1:1</w:t>
      </w:r>
      <w:r w:rsidR="0000520E" w:rsidRPr="00CA0B6D">
        <w:rPr>
          <w:rFonts w:asciiTheme="majorHAnsi" w:hAnsiTheme="majorHAnsi" w:cstheme="majorHAnsi"/>
          <w:color w:val="000000" w:themeColor="text1"/>
        </w:rPr>
        <w:t xml:space="preserve"> in Moza</w:t>
      </w:r>
      <w:r w:rsidR="001E2FC1" w:rsidRPr="00CA0B6D">
        <w:rPr>
          <w:rFonts w:asciiTheme="majorHAnsi" w:hAnsiTheme="majorHAnsi" w:cstheme="majorHAnsi"/>
          <w:color w:val="000000" w:themeColor="text1"/>
        </w:rPr>
        <w:t>m</w:t>
      </w:r>
      <w:r w:rsidR="0000520E" w:rsidRPr="00CA0B6D">
        <w:rPr>
          <w:rFonts w:asciiTheme="majorHAnsi" w:hAnsiTheme="majorHAnsi" w:cstheme="majorHAnsi"/>
          <w:color w:val="000000" w:themeColor="text1"/>
        </w:rPr>
        <w:t>bique</w:t>
      </w:r>
      <w:r w:rsidR="003745B7" w:rsidRPr="00CA0B6D">
        <w:rPr>
          <w:rFonts w:asciiTheme="majorHAnsi" w:hAnsiTheme="majorHAnsi" w:cstheme="majorHAnsi"/>
          <w:color w:val="000000" w:themeColor="text1"/>
        </w:rPr>
        <w:t>,</w:t>
      </w:r>
      <w:r w:rsidR="00F2014B" w:rsidRPr="00CA0B6D">
        <w:rPr>
          <w:rFonts w:asciiTheme="majorHAnsi" w:hAnsiTheme="majorHAnsi" w:cstheme="majorHAnsi"/>
          <w:color w:val="000000" w:themeColor="text1"/>
        </w:rPr>
        <w:t xml:space="preserve"> </w:t>
      </w:r>
      <w:r w:rsidR="00D41A33" w:rsidRPr="00CA0B6D">
        <w:rPr>
          <w:rFonts w:asciiTheme="majorHAnsi" w:hAnsiTheme="majorHAnsi" w:cstheme="majorHAnsi"/>
          <w:color w:val="000000" w:themeColor="text1"/>
        </w:rPr>
        <w:t xml:space="preserve">groundnut and </w:t>
      </w:r>
      <w:r w:rsidR="00EA5346" w:rsidRPr="00CA0B6D">
        <w:rPr>
          <w:rFonts w:asciiTheme="majorHAnsi" w:hAnsiTheme="majorHAnsi" w:cstheme="majorHAnsi"/>
          <w:color w:val="000000" w:themeColor="text1"/>
        </w:rPr>
        <w:t>pige</w:t>
      </w:r>
      <w:r w:rsidR="00956758" w:rsidRPr="00CA0B6D">
        <w:rPr>
          <w:rFonts w:asciiTheme="majorHAnsi" w:hAnsiTheme="majorHAnsi" w:cstheme="majorHAnsi"/>
          <w:color w:val="000000" w:themeColor="text1"/>
        </w:rPr>
        <w:t>on pea</w:t>
      </w:r>
      <w:r w:rsidR="00066434" w:rsidRPr="00CA0B6D">
        <w:rPr>
          <w:rFonts w:asciiTheme="majorHAnsi" w:hAnsiTheme="majorHAnsi" w:cstheme="majorHAnsi"/>
          <w:color w:val="000000" w:themeColor="text1"/>
        </w:rPr>
        <w:t xml:space="preserve"> in </w:t>
      </w:r>
      <w:r w:rsidR="00A41006" w:rsidRPr="00CA0B6D">
        <w:rPr>
          <w:rFonts w:asciiTheme="majorHAnsi" w:hAnsiTheme="majorHAnsi" w:cstheme="majorHAnsi"/>
          <w:color w:val="000000" w:themeColor="text1"/>
        </w:rPr>
        <w:t>I</w:t>
      </w:r>
      <w:r w:rsidR="00066434" w:rsidRPr="00CA0B6D">
        <w:rPr>
          <w:rFonts w:asciiTheme="majorHAnsi" w:hAnsiTheme="majorHAnsi" w:cstheme="majorHAnsi"/>
          <w:color w:val="000000" w:themeColor="text1"/>
        </w:rPr>
        <w:t>ndia</w:t>
      </w:r>
      <w:r w:rsidR="00B76DB2" w:rsidRPr="00CA0B6D">
        <w:rPr>
          <w:rFonts w:asciiTheme="majorHAnsi" w:hAnsiTheme="majorHAnsi" w:cstheme="majorHAnsi"/>
          <w:color w:val="000000" w:themeColor="text1"/>
        </w:rPr>
        <w:t xml:space="preserve">, </w:t>
      </w:r>
      <w:r w:rsidR="003745B7" w:rsidRPr="00CA0B6D">
        <w:rPr>
          <w:rFonts w:asciiTheme="majorHAnsi" w:hAnsiTheme="majorHAnsi" w:cstheme="majorHAnsi"/>
          <w:bCs/>
          <w:color w:val="000000" w:themeColor="text1"/>
        </w:rPr>
        <w:t>sorghum with native evergreen woody shrubs in Burkina Faso</w:t>
      </w:r>
      <w:r w:rsidR="000B1271" w:rsidRPr="00CA0B6D">
        <w:rPr>
          <w:rFonts w:asciiTheme="majorHAnsi" w:hAnsiTheme="majorHAnsi" w:cstheme="majorHAnsi"/>
          <w:bCs/>
          <w:color w:val="000000" w:themeColor="text1"/>
        </w:rPr>
        <w:t xml:space="preserve"> </w:t>
      </w:r>
      <w:r w:rsidR="00D1797A">
        <w:rPr>
          <w:rFonts w:asciiTheme="majorHAnsi" w:hAnsiTheme="majorHAnsi" w:cstheme="majorHAnsi"/>
          <w:bCs/>
          <w:color w:val="000000" w:themeColor="text1"/>
        </w:rPr>
        <w:t xml:space="preserve">for which </w:t>
      </w:r>
      <w:r w:rsidR="00DA072E" w:rsidRPr="00CA0B6D">
        <w:rPr>
          <w:rFonts w:asciiTheme="majorHAnsi" w:hAnsiTheme="majorHAnsi" w:cstheme="majorHAnsi"/>
          <w:bCs/>
          <w:color w:val="000000" w:themeColor="text1"/>
        </w:rPr>
        <w:t xml:space="preserve">production, </w:t>
      </w:r>
      <w:r w:rsidR="00845F7F" w:rsidRPr="00CA0B6D">
        <w:rPr>
          <w:rFonts w:asciiTheme="majorHAnsi" w:hAnsiTheme="majorHAnsi" w:cstheme="majorHAnsi"/>
          <w:bCs/>
          <w:color w:val="000000" w:themeColor="text1"/>
        </w:rPr>
        <w:t xml:space="preserve">radiation and </w:t>
      </w:r>
      <w:r w:rsidR="00FE2516" w:rsidRPr="00CA0B6D">
        <w:rPr>
          <w:rFonts w:asciiTheme="majorHAnsi" w:hAnsiTheme="majorHAnsi" w:cstheme="majorHAnsi"/>
          <w:bCs/>
          <w:color w:val="000000" w:themeColor="text1"/>
        </w:rPr>
        <w:t>WUE</w:t>
      </w:r>
      <w:r w:rsidR="00DE6A44" w:rsidRPr="00CA0B6D">
        <w:rPr>
          <w:rFonts w:asciiTheme="majorHAnsi" w:hAnsiTheme="majorHAnsi" w:cstheme="majorHAnsi"/>
          <w:bCs/>
          <w:color w:val="000000" w:themeColor="text1"/>
        </w:rPr>
        <w:t xml:space="preserve"> </w:t>
      </w:r>
      <w:r w:rsidR="00FA65B9">
        <w:rPr>
          <w:rFonts w:asciiTheme="majorHAnsi" w:hAnsiTheme="majorHAnsi" w:cstheme="majorHAnsi"/>
          <w:bCs/>
          <w:color w:val="000000" w:themeColor="text1"/>
        </w:rPr>
        <w:t>(increase</w:t>
      </w:r>
      <w:r w:rsidR="00CA25BE">
        <w:rPr>
          <w:rFonts w:asciiTheme="majorHAnsi" w:hAnsiTheme="majorHAnsi" w:cstheme="majorHAnsi"/>
          <w:bCs/>
          <w:color w:val="000000" w:themeColor="text1"/>
        </w:rPr>
        <w:t>d</w:t>
      </w:r>
      <w:r w:rsidR="00FA65B9">
        <w:rPr>
          <w:rFonts w:asciiTheme="majorHAnsi" w:hAnsiTheme="majorHAnsi" w:cstheme="majorHAnsi"/>
          <w:bCs/>
          <w:color w:val="000000" w:themeColor="text1"/>
        </w:rPr>
        <w:t xml:space="preserve"> by 44%) </w:t>
      </w:r>
      <w:r w:rsidR="00DE6A44" w:rsidRPr="00CA0B6D">
        <w:rPr>
          <w:rFonts w:asciiTheme="majorHAnsi" w:hAnsiTheme="majorHAnsi" w:cstheme="majorHAnsi"/>
          <w:bCs/>
          <w:color w:val="000000" w:themeColor="text1"/>
        </w:rPr>
        <w:t xml:space="preserve">and </w:t>
      </w:r>
      <w:r w:rsidR="00F61874" w:rsidRPr="00CA0B6D">
        <w:rPr>
          <w:rFonts w:asciiTheme="majorHAnsi" w:hAnsiTheme="majorHAnsi" w:cstheme="majorHAnsi"/>
          <w:bCs/>
          <w:color w:val="000000" w:themeColor="text1"/>
        </w:rPr>
        <w:t>farmers</w:t>
      </w:r>
      <w:r w:rsidR="00CE05AC">
        <w:rPr>
          <w:rFonts w:asciiTheme="majorHAnsi" w:hAnsiTheme="majorHAnsi" w:cstheme="majorHAnsi"/>
          <w:bCs/>
          <w:color w:val="000000" w:themeColor="text1"/>
        </w:rPr>
        <w:t>’</w:t>
      </w:r>
      <w:r w:rsidR="00F61874" w:rsidRPr="00CA0B6D">
        <w:rPr>
          <w:rFonts w:asciiTheme="majorHAnsi" w:hAnsiTheme="majorHAnsi" w:cstheme="majorHAnsi"/>
          <w:bCs/>
          <w:color w:val="000000" w:themeColor="text1"/>
        </w:rPr>
        <w:t xml:space="preserve"> opinion</w:t>
      </w:r>
      <w:r w:rsidR="00CE05AC">
        <w:rPr>
          <w:rFonts w:asciiTheme="majorHAnsi" w:hAnsiTheme="majorHAnsi" w:cstheme="majorHAnsi"/>
          <w:bCs/>
          <w:color w:val="000000" w:themeColor="text1"/>
        </w:rPr>
        <w:t>s</w:t>
      </w:r>
      <w:r w:rsidR="00D4259B">
        <w:rPr>
          <w:rFonts w:asciiTheme="majorHAnsi" w:hAnsiTheme="majorHAnsi" w:cstheme="majorHAnsi"/>
          <w:bCs/>
          <w:color w:val="000000" w:themeColor="text1"/>
        </w:rPr>
        <w:t xml:space="preserve"> were evaluated</w:t>
      </w:r>
      <w:r w:rsidR="00F61874" w:rsidRPr="00CA0B6D">
        <w:rPr>
          <w:rFonts w:asciiTheme="majorHAnsi" w:hAnsiTheme="majorHAnsi" w:cstheme="majorHAnsi"/>
          <w:bCs/>
          <w:color w:val="000000" w:themeColor="text1"/>
        </w:rPr>
        <w:t xml:space="preserve">. </w:t>
      </w:r>
      <w:r w:rsidR="00CE05AC" w:rsidRPr="00CE05AC">
        <w:rPr>
          <w:rFonts w:asciiTheme="majorHAnsi" w:hAnsiTheme="majorHAnsi" w:cstheme="majorHAnsi"/>
          <w:bCs/>
          <w:color w:val="000000" w:themeColor="text1"/>
        </w:rPr>
        <w:t xml:space="preserve">In total, </w:t>
      </w:r>
      <w:r w:rsidR="00CE05AC" w:rsidRPr="00CE05AC">
        <w:rPr>
          <w:rFonts w:asciiTheme="majorHAnsi" w:hAnsiTheme="majorHAnsi" w:cstheme="majorHAnsi"/>
        </w:rPr>
        <w:t>2,500 farmers and extension agents (46% women) were t</w:t>
      </w:r>
      <w:r w:rsidR="00CE05AC">
        <w:rPr>
          <w:rFonts w:asciiTheme="majorHAnsi" w:hAnsiTheme="majorHAnsi" w:cstheme="majorHAnsi"/>
        </w:rPr>
        <w:t>rained in Mozambique and Malawi</w:t>
      </w:r>
      <w:r w:rsidR="00CE05AC">
        <w:t xml:space="preserve">, </w:t>
      </w:r>
      <w:r w:rsidR="00CE05AC">
        <w:rPr>
          <w:rFonts w:asciiTheme="majorHAnsi" w:hAnsiTheme="majorHAnsi" w:cstheme="majorHAnsi"/>
          <w:color w:val="000000" w:themeColor="text1"/>
        </w:rPr>
        <w:t>e</w:t>
      </w:r>
      <w:r w:rsidR="004A4519" w:rsidRPr="00CA0B6D">
        <w:rPr>
          <w:rFonts w:asciiTheme="majorHAnsi" w:hAnsiTheme="majorHAnsi" w:cstheme="majorHAnsi"/>
          <w:color w:val="000000" w:themeColor="text1"/>
        </w:rPr>
        <w:t>xten</w:t>
      </w:r>
      <w:r w:rsidR="00934EBD" w:rsidRPr="00CA0B6D">
        <w:rPr>
          <w:rFonts w:asciiTheme="majorHAnsi" w:hAnsiTheme="majorHAnsi" w:cstheme="majorHAnsi"/>
          <w:color w:val="000000" w:themeColor="text1"/>
        </w:rPr>
        <w:t xml:space="preserve">sion </w:t>
      </w:r>
      <w:r w:rsidR="00F015CF" w:rsidRPr="00CA0B6D">
        <w:rPr>
          <w:rFonts w:asciiTheme="majorHAnsi" w:hAnsiTheme="majorHAnsi" w:cstheme="majorHAnsi"/>
          <w:color w:val="000000" w:themeColor="text1"/>
        </w:rPr>
        <w:t>materials</w:t>
      </w:r>
      <w:r w:rsidR="008A028A" w:rsidRPr="00CA0B6D">
        <w:rPr>
          <w:rFonts w:asciiTheme="majorHAnsi" w:hAnsiTheme="majorHAnsi" w:cstheme="majorHAnsi"/>
          <w:color w:val="000000" w:themeColor="text1"/>
        </w:rPr>
        <w:t xml:space="preserve"> </w:t>
      </w:r>
      <w:r w:rsidR="00761BDF" w:rsidRPr="00CA0B6D">
        <w:rPr>
          <w:rFonts w:asciiTheme="majorHAnsi" w:hAnsiTheme="majorHAnsi" w:cstheme="majorHAnsi"/>
          <w:color w:val="000000" w:themeColor="text1"/>
        </w:rPr>
        <w:t xml:space="preserve">were </w:t>
      </w:r>
      <w:r w:rsidR="00D11264" w:rsidRPr="00CA0B6D">
        <w:rPr>
          <w:rFonts w:asciiTheme="majorHAnsi" w:hAnsiTheme="majorHAnsi" w:cstheme="majorHAnsi"/>
          <w:color w:val="000000" w:themeColor="text1"/>
        </w:rPr>
        <w:t>developed,</w:t>
      </w:r>
      <w:r w:rsidR="004A4519" w:rsidRPr="00CA0B6D">
        <w:rPr>
          <w:rFonts w:asciiTheme="majorHAnsi" w:hAnsiTheme="majorHAnsi" w:cstheme="majorHAnsi"/>
          <w:color w:val="000000" w:themeColor="text1"/>
        </w:rPr>
        <w:t xml:space="preserve"> </w:t>
      </w:r>
      <w:r w:rsidR="00761BDF" w:rsidRPr="00CA0B6D">
        <w:rPr>
          <w:rFonts w:asciiTheme="majorHAnsi" w:hAnsiTheme="majorHAnsi" w:cstheme="majorHAnsi"/>
          <w:color w:val="000000" w:themeColor="text1"/>
        </w:rPr>
        <w:t>and</w:t>
      </w:r>
      <w:r w:rsidR="00D76752" w:rsidRPr="00CA0B6D">
        <w:rPr>
          <w:rFonts w:asciiTheme="majorHAnsi" w:hAnsiTheme="majorHAnsi" w:cstheme="majorHAnsi"/>
          <w:color w:val="000000" w:themeColor="text1"/>
        </w:rPr>
        <w:t xml:space="preserve"> </w:t>
      </w:r>
      <w:r w:rsidR="003F5FCD" w:rsidRPr="00CA0B6D">
        <w:rPr>
          <w:rFonts w:asciiTheme="majorHAnsi" w:hAnsiTheme="majorHAnsi" w:cstheme="majorHAnsi"/>
          <w:color w:val="000000" w:themeColor="text1"/>
        </w:rPr>
        <w:t xml:space="preserve">110,000 people </w:t>
      </w:r>
      <w:r w:rsidR="00024C36" w:rsidRPr="00CA0B6D">
        <w:rPr>
          <w:rFonts w:asciiTheme="majorHAnsi" w:hAnsiTheme="majorHAnsi" w:cstheme="majorHAnsi"/>
          <w:color w:val="000000" w:themeColor="text1"/>
        </w:rPr>
        <w:t xml:space="preserve">are </w:t>
      </w:r>
      <w:r w:rsidR="003F5FCD" w:rsidRPr="00CA0B6D">
        <w:rPr>
          <w:rFonts w:asciiTheme="majorHAnsi" w:hAnsiTheme="majorHAnsi" w:cstheme="majorHAnsi"/>
          <w:color w:val="000000" w:themeColor="text1"/>
        </w:rPr>
        <w:t xml:space="preserve">benefitting from the doubled-up legume systems in </w:t>
      </w:r>
      <w:r w:rsidR="00A41006" w:rsidRPr="00CA0B6D">
        <w:rPr>
          <w:rFonts w:asciiTheme="majorHAnsi" w:hAnsiTheme="majorHAnsi" w:cstheme="majorHAnsi"/>
          <w:color w:val="000000" w:themeColor="text1"/>
        </w:rPr>
        <w:t>Malawi</w:t>
      </w:r>
      <w:r w:rsidR="00CE05AC">
        <w:rPr>
          <w:rFonts w:asciiTheme="majorHAnsi" w:hAnsiTheme="majorHAnsi" w:cstheme="majorHAnsi"/>
          <w:color w:val="000000" w:themeColor="text1"/>
        </w:rPr>
        <w:t>.</w:t>
      </w:r>
      <w:r w:rsidR="00C94241">
        <w:rPr>
          <w:rFonts w:asciiTheme="majorHAnsi" w:hAnsiTheme="majorHAnsi" w:cstheme="majorHAnsi"/>
          <w:color w:val="000000" w:themeColor="text1"/>
        </w:rPr>
        <w:t xml:space="preserve"> </w:t>
      </w:r>
    </w:p>
    <w:p w14:paraId="5AD0630A" w14:textId="4A7CE5A6" w:rsidR="00CA73DC" w:rsidRPr="008F7FF3" w:rsidRDefault="005C11A1" w:rsidP="008F7FF3">
      <w:pPr>
        <w:jc w:val="both"/>
        <w:rPr>
          <w:rFonts w:asciiTheme="majorHAnsi" w:hAnsiTheme="majorHAnsi" w:cstheme="majorHAnsi"/>
          <w:b/>
        </w:rPr>
      </w:pPr>
      <w:r>
        <w:rPr>
          <w:rFonts w:asciiTheme="majorHAnsi" w:hAnsiTheme="majorHAnsi" w:cstheme="majorHAnsi"/>
          <w:bCs/>
        </w:rPr>
        <w:t>D</w:t>
      </w:r>
      <w:r w:rsidR="00CA73DC" w:rsidRPr="00601899">
        <w:rPr>
          <w:rFonts w:asciiTheme="majorHAnsi" w:hAnsiTheme="majorHAnsi" w:cstheme="majorHAnsi"/>
          <w:bCs/>
        </w:rPr>
        <w:t>ecision support tools</w:t>
      </w:r>
      <w:r w:rsidR="00492413" w:rsidRPr="00601899">
        <w:rPr>
          <w:rFonts w:asciiTheme="majorHAnsi" w:hAnsiTheme="majorHAnsi" w:cstheme="majorHAnsi"/>
          <w:bCs/>
        </w:rPr>
        <w:t xml:space="preserve"> </w:t>
      </w:r>
      <w:r w:rsidR="00601899" w:rsidRPr="00601899">
        <w:rPr>
          <w:rFonts w:asciiTheme="majorHAnsi" w:hAnsiTheme="majorHAnsi" w:cstheme="majorHAnsi"/>
          <w:bCs/>
        </w:rPr>
        <w:t>w</w:t>
      </w:r>
      <w:r w:rsidR="00A52AA8">
        <w:rPr>
          <w:rFonts w:asciiTheme="majorHAnsi" w:hAnsiTheme="majorHAnsi" w:cstheme="majorHAnsi"/>
          <w:bCs/>
        </w:rPr>
        <w:t>ere developed</w:t>
      </w:r>
      <w:r w:rsidR="00076778">
        <w:rPr>
          <w:rFonts w:asciiTheme="majorHAnsi" w:hAnsiTheme="majorHAnsi" w:cstheme="majorHAnsi"/>
          <w:bCs/>
        </w:rPr>
        <w:t xml:space="preserve"> through</w:t>
      </w:r>
      <w:r w:rsidR="00CA73DC" w:rsidRPr="008C34AB">
        <w:rPr>
          <w:rFonts w:asciiTheme="majorHAnsi" w:hAnsiTheme="majorHAnsi" w:cstheme="majorHAnsi"/>
          <w:lang w:val="en-GB"/>
        </w:rPr>
        <w:t xml:space="preserve"> </w:t>
      </w:r>
      <w:r w:rsidR="00CA73DC" w:rsidRPr="008C34AB">
        <w:rPr>
          <w:rFonts w:asciiTheme="majorHAnsi" w:hAnsiTheme="majorHAnsi" w:cstheme="majorHAnsi"/>
        </w:rPr>
        <w:t>complet</w:t>
      </w:r>
      <w:r w:rsidR="00076778">
        <w:rPr>
          <w:rFonts w:asciiTheme="majorHAnsi" w:hAnsiTheme="majorHAnsi" w:cstheme="majorHAnsi"/>
        </w:rPr>
        <w:t>ing</w:t>
      </w:r>
      <w:r w:rsidR="00CA73DC" w:rsidRPr="008C34AB">
        <w:rPr>
          <w:rFonts w:asciiTheme="majorHAnsi" w:hAnsiTheme="majorHAnsi" w:cstheme="majorHAnsi"/>
        </w:rPr>
        <w:t xml:space="preserve"> </w:t>
      </w:r>
      <w:r w:rsidR="00475608">
        <w:rPr>
          <w:rFonts w:asciiTheme="majorHAnsi" w:hAnsiTheme="majorHAnsi" w:cstheme="majorHAnsi"/>
        </w:rPr>
        <w:t xml:space="preserve">surveys </w:t>
      </w:r>
      <w:r w:rsidR="00CA73DC" w:rsidRPr="008C34AB">
        <w:rPr>
          <w:rFonts w:asciiTheme="majorHAnsi" w:hAnsiTheme="majorHAnsi" w:cstheme="majorHAnsi"/>
        </w:rPr>
        <w:t xml:space="preserve">for farm-household livelihood typologies, innovation adoptions, </w:t>
      </w:r>
      <w:r w:rsidR="00475608">
        <w:rPr>
          <w:rFonts w:asciiTheme="majorHAnsi" w:hAnsiTheme="majorHAnsi" w:cstheme="majorHAnsi"/>
        </w:rPr>
        <w:t xml:space="preserve">and assessing the </w:t>
      </w:r>
      <w:r w:rsidR="00CA73DC" w:rsidRPr="008C34AB">
        <w:rPr>
          <w:rFonts w:asciiTheme="majorHAnsi" w:hAnsiTheme="majorHAnsi" w:cstheme="majorHAnsi"/>
        </w:rPr>
        <w:t xml:space="preserve">impacts of legume-based technological interventions </w:t>
      </w:r>
      <w:r w:rsidR="00475608">
        <w:rPr>
          <w:rFonts w:asciiTheme="majorHAnsi" w:hAnsiTheme="majorHAnsi" w:cstheme="majorHAnsi"/>
        </w:rPr>
        <w:t xml:space="preserve">on </w:t>
      </w:r>
      <w:r w:rsidR="00CA73DC" w:rsidRPr="008C34AB">
        <w:rPr>
          <w:rFonts w:asciiTheme="majorHAnsi" w:hAnsiTheme="majorHAnsi" w:cstheme="majorHAnsi"/>
        </w:rPr>
        <w:t>production and livelihood in Burkina Faso and Ethiopia.</w:t>
      </w:r>
      <w:r w:rsidR="00D35442">
        <w:rPr>
          <w:rFonts w:asciiTheme="majorHAnsi" w:hAnsiTheme="majorHAnsi" w:cstheme="majorHAnsi"/>
        </w:rPr>
        <w:t xml:space="preserve"> </w:t>
      </w:r>
      <w:r w:rsidR="00DC7881" w:rsidRPr="008C34AB">
        <w:rPr>
          <w:rFonts w:asciiTheme="majorHAnsi" w:hAnsiTheme="majorHAnsi" w:cstheme="majorHAnsi"/>
        </w:rPr>
        <w:t>Model specification and data collection are completed</w:t>
      </w:r>
      <w:r w:rsidR="00623760">
        <w:rPr>
          <w:rFonts w:asciiTheme="majorHAnsi" w:hAnsiTheme="majorHAnsi" w:cstheme="majorHAnsi"/>
        </w:rPr>
        <w:t>,</w:t>
      </w:r>
      <w:r w:rsidR="00DC7881" w:rsidRPr="008C34AB">
        <w:rPr>
          <w:rFonts w:asciiTheme="majorHAnsi" w:hAnsiTheme="majorHAnsi" w:cstheme="majorHAnsi"/>
        </w:rPr>
        <w:t xml:space="preserve"> and empirical parameterization </w:t>
      </w:r>
      <w:r w:rsidR="0097123E">
        <w:rPr>
          <w:rFonts w:asciiTheme="majorHAnsi" w:hAnsiTheme="majorHAnsi" w:cstheme="majorHAnsi"/>
        </w:rPr>
        <w:t xml:space="preserve">is </w:t>
      </w:r>
      <w:r w:rsidR="00DC7881" w:rsidRPr="008C34AB">
        <w:rPr>
          <w:rFonts w:asciiTheme="majorHAnsi" w:hAnsiTheme="majorHAnsi" w:cstheme="majorHAnsi"/>
        </w:rPr>
        <w:t>on</w:t>
      </w:r>
      <w:r w:rsidR="0097123E">
        <w:rPr>
          <w:rFonts w:asciiTheme="majorHAnsi" w:hAnsiTheme="majorHAnsi" w:cstheme="majorHAnsi"/>
        </w:rPr>
        <w:t>-</w:t>
      </w:r>
      <w:r w:rsidR="00DC7881" w:rsidRPr="008C34AB">
        <w:rPr>
          <w:rFonts w:asciiTheme="majorHAnsi" w:hAnsiTheme="majorHAnsi" w:cstheme="majorHAnsi"/>
        </w:rPr>
        <w:t>going</w:t>
      </w:r>
      <w:r w:rsidR="00DC7881" w:rsidRPr="008C34AB">
        <w:rPr>
          <w:rFonts w:asciiTheme="majorHAnsi" w:hAnsiTheme="majorHAnsi" w:cstheme="majorHAnsi"/>
          <w:bCs/>
        </w:rPr>
        <w:t xml:space="preserve"> </w:t>
      </w:r>
      <w:r w:rsidR="00C20219">
        <w:rPr>
          <w:rFonts w:asciiTheme="majorHAnsi" w:hAnsiTheme="majorHAnsi" w:cstheme="majorHAnsi"/>
          <w:bCs/>
        </w:rPr>
        <w:t>for a</w:t>
      </w:r>
      <w:r w:rsidR="00CA73DC" w:rsidRPr="008C34AB">
        <w:rPr>
          <w:rFonts w:asciiTheme="majorHAnsi" w:hAnsiTheme="majorHAnsi" w:cstheme="majorHAnsi"/>
          <w:bCs/>
        </w:rPr>
        <w:t>gent-based model</w:t>
      </w:r>
      <w:r w:rsidR="00CA73DC" w:rsidRPr="008C34AB">
        <w:rPr>
          <w:rFonts w:asciiTheme="majorHAnsi" w:hAnsiTheme="majorHAnsi" w:cstheme="majorHAnsi"/>
          <w:b/>
          <w:bCs/>
        </w:rPr>
        <w:t xml:space="preserve"> </w:t>
      </w:r>
      <w:r w:rsidR="00CA73DC" w:rsidRPr="008C34AB">
        <w:rPr>
          <w:rFonts w:asciiTheme="majorHAnsi" w:hAnsiTheme="majorHAnsi" w:cstheme="majorHAnsi"/>
        </w:rPr>
        <w:t xml:space="preserve">of community-landscape dynamics. </w:t>
      </w:r>
      <w:r w:rsidR="008A448B">
        <w:rPr>
          <w:rFonts w:asciiTheme="majorHAnsi" w:hAnsiTheme="majorHAnsi" w:cstheme="majorHAnsi"/>
        </w:rPr>
        <w:t>Additionally</w:t>
      </w:r>
      <w:r w:rsidR="00370225">
        <w:rPr>
          <w:rFonts w:asciiTheme="majorHAnsi" w:hAnsiTheme="majorHAnsi" w:cstheme="majorHAnsi"/>
        </w:rPr>
        <w:t>, n</w:t>
      </w:r>
      <w:r w:rsidR="00CA73DC" w:rsidRPr="008C34AB">
        <w:rPr>
          <w:rFonts w:asciiTheme="majorHAnsi" w:hAnsiTheme="majorHAnsi" w:cstheme="majorHAnsi"/>
        </w:rPr>
        <w:t>utrient flow</w:t>
      </w:r>
      <w:r w:rsidR="00B5179F">
        <w:rPr>
          <w:rFonts w:asciiTheme="majorHAnsi" w:hAnsiTheme="majorHAnsi" w:cstheme="majorHAnsi"/>
        </w:rPr>
        <w:t>s are being</w:t>
      </w:r>
      <w:r w:rsidR="00CA73DC" w:rsidRPr="008C34AB">
        <w:rPr>
          <w:rFonts w:asciiTheme="majorHAnsi" w:hAnsiTheme="majorHAnsi" w:cstheme="majorHAnsi"/>
        </w:rPr>
        <w:t xml:space="preserve"> modell</w:t>
      </w:r>
      <w:r w:rsidR="00B5179F">
        <w:rPr>
          <w:rFonts w:asciiTheme="majorHAnsi" w:hAnsiTheme="majorHAnsi" w:cstheme="majorHAnsi"/>
        </w:rPr>
        <w:t>ed</w:t>
      </w:r>
      <w:r w:rsidR="00CA73DC" w:rsidRPr="008C34AB">
        <w:rPr>
          <w:rFonts w:asciiTheme="majorHAnsi" w:hAnsiTheme="majorHAnsi" w:cstheme="majorHAnsi"/>
        </w:rPr>
        <w:t xml:space="preserve"> </w:t>
      </w:r>
      <w:r w:rsidR="007B59D0">
        <w:rPr>
          <w:rFonts w:asciiTheme="majorHAnsi" w:hAnsiTheme="majorHAnsi" w:cstheme="majorHAnsi"/>
        </w:rPr>
        <w:t xml:space="preserve">to generate a </w:t>
      </w:r>
      <w:r w:rsidR="00CA73DC" w:rsidRPr="008C34AB">
        <w:rPr>
          <w:rFonts w:asciiTheme="majorHAnsi" w:hAnsiTheme="majorHAnsi" w:cstheme="majorHAnsi"/>
        </w:rPr>
        <w:t xml:space="preserve">“map” </w:t>
      </w:r>
      <w:r w:rsidR="00A65B8A">
        <w:rPr>
          <w:rFonts w:asciiTheme="majorHAnsi" w:hAnsiTheme="majorHAnsi" w:cstheme="majorHAnsi"/>
        </w:rPr>
        <w:t>to</w:t>
      </w:r>
      <w:r w:rsidR="00CA73DC" w:rsidRPr="008C34AB">
        <w:rPr>
          <w:rFonts w:asciiTheme="majorHAnsi" w:hAnsiTheme="majorHAnsi" w:cstheme="majorHAnsi"/>
        </w:rPr>
        <w:t xml:space="preserve"> guid</w:t>
      </w:r>
      <w:r w:rsidR="00A65B8A">
        <w:rPr>
          <w:rFonts w:asciiTheme="majorHAnsi" w:hAnsiTheme="majorHAnsi" w:cstheme="majorHAnsi"/>
        </w:rPr>
        <w:t>e</w:t>
      </w:r>
      <w:r w:rsidR="00CA73DC" w:rsidRPr="008C34AB">
        <w:rPr>
          <w:rFonts w:asciiTheme="majorHAnsi" w:hAnsiTheme="majorHAnsi" w:cstheme="majorHAnsi"/>
        </w:rPr>
        <w:t xml:space="preserve"> stakeholders’ </w:t>
      </w:r>
      <w:r w:rsidR="009912CE">
        <w:rPr>
          <w:rFonts w:asciiTheme="majorHAnsi" w:hAnsiTheme="majorHAnsi" w:cstheme="majorHAnsi"/>
        </w:rPr>
        <w:t>for</w:t>
      </w:r>
      <w:r w:rsidR="00CA73DC" w:rsidRPr="008C34AB">
        <w:rPr>
          <w:rFonts w:asciiTheme="majorHAnsi" w:hAnsiTheme="majorHAnsi" w:cstheme="majorHAnsi"/>
        </w:rPr>
        <w:t xml:space="preserve"> effective </w:t>
      </w:r>
      <w:r w:rsidR="00C80135">
        <w:rPr>
          <w:rFonts w:asciiTheme="majorHAnsi" w:hAnsiTheme="majorHAnsi" w:cstheme="majorHAnsi"/>
        </w:rPr>
        <w:t xml:space="preserve">nutrient </w:t>
      </w:r>
      <w:r w:rsidR="00CA73DC" w:rsidRPr="008C34AB">
        <w:rPr>
          <w:rFonts w:asciiTheme="majorHAnsi" w:hAnsiTheme="majorHAnsi" w:cstheme="majorHAnsi"/>
        </w:rPr>
        <w:t>cycles</w:t>
      </w:r>
      <w:r w:rsidR="00002EA0">
        <w:rPr>
          <w:rFonts w:asciiTheme="majorHAnsi" w:hAnsiTheme="majorHAnsi" w:cstheme="majorHAnsi"/>
        </w:rPr>
        <w:t>.</w:t>
      </w:r>
    </w:p>
    <w:p w14:paraId="6968C81A" w14:textId="77777777" w:rsidR="004F5272" w:rsidRPr="009C704C" w:rsidRDefault="004F5272" w:rsidP="004F5272">
      <w:pPr>
        <w:jc w:val="both"/>
        <w:rPr>
          <w:rFonts w:asciiTheme="majorHAnsi" w:hAnsiTheme="majorHAnsi" w:cstheme="majorHAnsi"/>
        </w:rPr>
      </w:pPr>
    </w:p>
    <w:p w14:paraId="7D0BBDFB" w14:textId="1AF33103" w:rsidR="009359AA" w:rsidRPr="00E208B6" w:rsidRDefault="004F5272" w:rsidP="00E208B6">
      <w:pPr>
        <w:jc w:val="both"/>
        <w:rPr>
          <w:rFonts w:asciiTheme="majorHAnsi" w:hAnsiTheme="majorHAnsi" w:cstheme="majorHAnsi"/>
        </w:rPr>
      </w:pPr>
      <w:r w:rsidRPr="009C704C">
        <w:rPr>
          <w:rFonts w:asciiTheme="majorHAnsi" w:hAnsiTheme="majorHAnsi" w:cstheme="majorHAnsi"/>
        </w:rPr>
        <w:t xml:space="preserve">To capacitate farmers in applying tested, adapted and validated options for sustainable intensification and livelihood diversification, CoA 3.3 attempted to </w:t>
      </w:r>
      <w:r w:rsidR="0059622F" w:rsidRPr="009C704C">
        <w:rPr>
          <w:rFonts w:asciiTheme="majorHAnsi" w:hAnsiTheme="majorHAnsi" w:cstheme="majorHAnsi"/>
        </w:rPr>
        <w:t xml:space="preserve">develop suite </w:t>
      </w:r>
      <w:r w:rsidR="003049E3" w:rsidRPr="009C704C">
        <w:rPr>
          <w:rFonts w:asciiTheme="majorHAnsi" w:hAnsiTheme="majorHAnsi" w:cstheme="majorHAnsi"/>
        </w:rPr>
        <w:t>o</w:t>
      </w:r>
      <w:r w:rsidR="0059622F" w:rsidRPr="009C704C">
        <w:rPr>
          <w:rFonts w:asciiTheme="majorHAnsi" w:hAnsiTheme="majorHAnsi" w:cstheme="majorHAnsi"/>
        </w:rPr>
        <w:t>f systems</w:t>
      </w:r>
      <w:r w:rsidR="003F1B14" w:rsidRPr="009C704C">
        <w:rPr>
          <w:rFonts w:asciiTheme="majorHAnsi" w:hAnsiTheme="majorHAnsi" w:cstheme="majorHAnsi"/>
        </w:rPr>
        <w:t xml:space="preserve"> modelling tools/framework for co-designing resilient farming systems. </w:t>
      </w:r>
      <w:r w:rsidR="00331D65" w:rsidRPr="009C704C">
        <w:rPr>
          <w:rFonts w:asciiTheme="majorHAnsi" w:hAnsiTheme="majorHAnsi" w:cstheme="majorHAnsi"/>
          <w:lang w:val="en-IN"/>
        </w:rPr>
        <w:t>Under a</w:t>
      </w:r>
      <w:r w:rsidR="009359AA" w:rsidRPr="009C704C">
        <w:rPr>
          <w:rFonts w:asciiTheme="majorHAnsi" w:hAnsiTheme="majorHAnsi" w:cstheme="majorHAnsi"/>
          <w:lang w:val="en-IN"/>
        </w:rPr>
        <w:t>ssessment across scales and dimensions</w:t>
      </w:r>
      <w:r w:rsidR="00A16CF8" w:rsidRPr="009C704C">
        <w:rPr>
          <w:rFonts w:asciiTheme="majorHAnsi" w:hAnsiTheme="majorHAnsi" w:cstheme="majorHAnsi"/>
          <w:lang w:val="en-IN"/>
        </w:rPr>
        <w:t>,</w:t>
      </w:r>
      <w:r w:rsidR="009359AA" w:rsidRPr="009C704C">
        <w:rPr>
          <w:rFonts w:asciiTheme="majorHAnsi" w:eastAsia="Calibri" w:hAnsiTheme="majorHAnsi" w:cstheme="majorHAnsi"/>
        </w:rPr>
        <w:t xml:space="preserve"> </w:t>
      </w:r>
      <w:r w:rsidR="00A16CF8" w:rsidRPr="009C704C">
        <w:rPr>
          <w:rFonts w:asciiTheme="majorHAnsi" w:eastAsia="Calibri" w:hAnsiTheme="majorHAnsi" w:cstheme="majorHAnsi"/>
        </w:rPr>
        <w:t>a</w:t>
      </w:r>
      <w:r w:rsidR="009359AA" w:rsidRPr="009C704C">
        <w:rPr>
          <w:rFonts w:asciiTheme="majorHAnsi" w:eastAsia="Calibri" w:hAnsiTheme="majorHAnsi" w:cstheme="majorHAnsi"/>
        </w:rPr>
        <w:t xml:space="preserve"> comprehensive framework for farming systems sustainability with five domains and 115 indicators</w:t>
      </w:r>
      <w:r w:rsidR="007C354F">
        <w:rPr>
          <w:rFonts w:asciiTheme="majorHAnsi" w:eastAsia="Calibri" w:hAnsiTheme="majorHAnsi" w:cstheme="majorHAnsi"/>
        </w:rPr>
        <w:t xml:space="preserve"> was developed</w:t>
      </w:r>
      <w:r w:rsidR="00ED5266">
        <w:rPr>
          <w:rFonts w:asciiTheme="majorHAnsi" w:eastAsia="Calibri" w:hAnsiTheme="majorHAnsi" w:cstheme="majorHAnsi"/>
        </w:rPr>
        <w:t xml:space="preserve">. </w:t>
      </w:r>
      <w:r w:rsidR="009359AA" w:rsidRPr="009C704C">
        <w:rPr>
          <w:rFonts w:asciiTheme="majorHAnsi" w:eastAsia="Calibri" w:hAnsiTheme="majorHAnsi" w:cstheme="majorHAnsi"/>
        </w:rPr>
        <w:t xml:space="preserve">A multi-dimensional analysis was undertaken to explore the near-future effects of different scenarios </w:t>
      </w:r>
      <w:r w:rsidR="005E5926" w:rsidRPr="009C704C">
        <w:rPr>
          <w:rFonts w:asciiTheme="majorHAnsi" w:eastAsia="Calibri" w:hAnsiTheme="majorHAnsi" w:cstheme="majorHAnsi"/>
        </w:rPr>
        <w:t xml:space="preserve">on </w:t>
      </w:r>
      <w:r w:rsidR="009359AA" w:rsidRPr="009C704C">
        <w:rPr>
          <w:rFonts w:asciiTheme="majorHAnsi" w:eastAsia="Calibri" w:hAnsiTheme="majorHAnsi" w:cstheme="majorHAnsi"/>
        </w:rPr>
        <w:t>food security dimensions of SI in southern Mali</w:t>
      </w:r>
      <w:r w:rsidR="009E2930">
        <w:t>.</w:t>
      </w:r>
      <w:r w:rsidR="00611E25" w:rsidRPr="009C704C">
        <w:rPr>
          <w:rStyle w:val="Hyperlink"/>
          <w:rFonts w:asciiTheme="majorHAnsi" w:eastAsia="Calibri" w:hAnsiTheme="majorHAnsi" w:cstheme="majorHAnsi"/>
          <w:color w:val="auto"/>
          <w:u w:val="none"/>
        </w:rPr>
        <w:t xml:space="preserve"> </w:t>
      </w:r>
      <w:r w:rsidR="009359AA" w:rsidRPr="009C704C">
        <w:rPr>
          <w:rFonts w:asciiTheme="majorHAnsi" w:eastAsia="Calibri" w:hAnsiTheme="majorHAnsi" w:cstheme="majorHAnsi"/>
        </w:rPr>
        <w:t>A remote sensing</w:t>
      </w:r>
      <w:r w:rsidR="00611E25" w:rsidRPr="009C704C">
        <w:rPr>
          <w:rFonts w:asciiTheme="majorHAnsi" w:eastAsia="Calibri" w:hAnsiTheme="majorHAnsi" w:cstheme="majorHAnsi"/>
        </w:rPr>
        <w:t>-</w:t>
      </w:r>
      <w:r w:rsidR="009359AA" w:rsidRPr="009C704C">
        <w:rPr>
          <w:rFonts w:asciiTheme="majorHAnsi" w:eastAsia="Calibri" w:hAnsiTheme="majorHAnsi" w:cstheme="majorHAnsi"/>
        </w:rPr>
        <w:t xml:space="preserve">based model has been calibrated for millet yield estimate allowing to account for parkland effects (R²=0.70) </w:t>
      </w:r>
      <w:r w:rsidR="00204FA9">
        <w:rPr>
          <w:rFonts w:asciiTheme="majorHAnsi" w:eastAsia="Calibri" w:hAnsiTheme="majorHAnsi" w:cstheme="majorHAnsi"/>
        </w:rPr>
        <w:t>in</w:t>
      </w:r>
      <w:r w:rsidR="009359AA" w:rsidRPr="009C704C">
        <w:rPr>
          <w:rFonts w:asciiTheme="majorHAnsi" w:eastAsia="Calibri" w:hAnsiTheme="majorHAnsi" w:cstheme="majorHAnsi"/>
        </w:rPr>
        <w:t xml:space="preserve"> Senegal.</w:t>
      </w:r>
      <w:r w:rsidR="006D76AF" w:rsidRPr="009C704C">
        <w:rPr>
          <w:rFonts w:asciiTheme="majorHAnsi" w:eastAsia="Calibri" w:hAnsiTheme="majorHAnsi" w:cstheme="majorHAnsi"/>
        </w:rPr>
        <w:t xml:space="preserve"> </w:t>
      </w:r>
    </w:p>
    <w:p w14:paraId="164D1382" w14:textId="5110541F" w:rsidR="009359AA" w:rsidRPr="009C704C" w:rsidRDefault="0078564C" w:rsidP="00F970B2">
      <w:pPr>
        <w:pStyle w:val="NoSpacing"/>
        <w:spacing w:line="252" w:lineRule="auto"/>
        <w:rPr>
          <w:rFonts w:asciiTheme="majorHAnsi" w:hAnsiTheme="majorHAnsi" w:cstheme="majorHAnsi"/>
          <w:sz w:val="24"/>
          <w:szCs w:val="24"/>
        </w:rPr>
      </w:pPr>
      <w:r w:rsidRPr="009C704C">
        <w:rPr>
          <w:rFonts w:asciiTheme="majorHAnsi" w:hAnsiTheme="majorHAnsi" w:cstheme="majorHAnsi"/>
          <w:sz w:val="24"/>
          <w:szCs w:val="24"/>
          <w:lang w:val="en-IN"/>
        </w:rPr>
        <w:t xml:space="preserve">Activities </w:t>
      </w:r>
      <w:r w:rsidR="004106BF" w:rsidRPr="009C704C">
        <w:rPr>
          <w:rFonts w:asciiTheme="majorHAnsi" w:hAnsiTheme="majorHAnsi" w:cstheme="majorHAnsi"/>
          <w:sz w:val="24"/>
          <w:szCs w:val="24"/>
          <w:lang w:val="en-IN"/>
        </w:rPr>
        <w:t>about e</w:t>
      </w:r>
      <w:r w:rsidR="009359AA" w:rsidRPr="009C704C">
        <w:rPr>
          <w:rFonts w:asciiTheme="majorHAnsi" w:hAnsiTheme="majorHAnsi" w:cstheme="majorHAnsi"/>
          <w:sz w:val="24"/>
          <w:szCs w:val="24"/>
          <w:lang w:val="en-IN"/>
        </w:rPr>
        <w:t>valuating trade-offs and co-designing farming systems for enhanced resilience and income</w:t>
      </w:r>
      <w:r w:rsidR="001867A9" w:rsidRPr="009C704C">
        <w:rPr>
          <w:rFonts w:asciiTheme="majorHAnsi" w:hAnsiTheme="majorHAnsi" w:cstheme="majorHAnsi"/>
          <w:sz w:val="24"/>
          <w:szCs w:val="24"/>
          <w:lang w:val="en-IN"/>
        </w:rPr>
        <w:t xml:space="preserve"> include</w:t>
      </w:r>
      <w:r w:rsidR="009359AA" w:rsidRPr="009C704C">
        <w:rPr>
          <w:rFonts w:asciiTheme="majorHAnsi" w:eastAsia="Calibri" w:hAnsiTheme="majorHAnsi" w:cstheme="majorHAnsi"/>
          <w:sz w:val="24"/>
          <w:szCs w:val="24"/>
        </w:rPr>
        <w:t> </w:t>
      </w:r>
      <w:r w:rsidR="00107189" w:rsidRPr="009C704C">
        <w:rPr>
          <w:rFonts w:asciiTheme="majorHAnsi" w:eastAsia="Calibri" w:hAnsiTheme="majorHAnsi" w:cstheme="majorHAnsi"/>
          <w:sz w:val="24"/>
          <w:szCs w:val="24"/>
        </w:rPr>
        <w:t xml:space="preserve">the development of </w:t>
      </w:r>
      <w:r w:rsidR="00914A98" w:rsidRPr="009C704C">
        <w:rPr>
          <w:rFonts w:asciiTheme="majorHAnsi" w:eastAsia="Calibri" w:hAnsiTheme="majorHAnsi" w:cstheme="majorHAnsi"/>
          <w:sz w:val="24"/>
          <w:szCs w:val="24"/>
        </w:rPr>
        <w:t>a range</w:t>
      </w:r>
      <w:r w:rsidR="009359AA" w:rsidRPr="009C704C">
        <w:rPr>
          <w:rFonts w:asciiTheme="majorHAnsi" w:eastAsia="Calibri" w:hAnsiTheme="majorHAnsi" w:cstheme="majorHAnsi"/>
          <w:sz w:val="24"/>
          <w:szCs w:val="24"/>
        </w:rPr>
        <w:t xml:space="preserve"> </w:t>
      </w:r>
      <w:r w:rsidR="00CA25BE">
        <w:rPr>
          <w:rFonts w:asciiTheme="majorHAnsi" w:eastAsia="Calibri" w:hAnsiTheme="majorHAnsi" w:cstheme="majorHAnsi"/>
          <w:sz w:val="24"/>
          <w:szCs w:val="24"/>
        </w:rPr>
        <w:t xml:space="preserve">of </w:t>
      </w:r>
      <w:r w:rsidR="009359AA" w:rsidRPr="009C704C">
        <w:rPr>
          <w:rFonts w:asciiTheme="majorHAnsi" w:eastAsia="Calibri" w:hAnsiTheme="majorHAnsi" w:cstheme="majorHAnsi"/>
          <w:sz w:val="24"/>
          <w:szCs w:val="24"/>
        </w:rPr>
        <w:t xml:space="preserve">new methodologies for combining data collected at </w:t>
      </w:r>
      <w:r w:rsidR="001976C3">
        <w:rPr>
          <w:rFonts w:asciiTheme="majorHAnsi" w:eastAsia="Calibri" w:hAnsiTheme="majorHAnsi" w:cstheme="majorHAnsi"/>
          <w:sz w:val="24"/>
          <w:szCs w:val="24"/>
        </w:rPr>
        <w:t xml:space="preserve">different scales </w:t>
      </w:r>
      <w:r w:rsidR="0045633A" w:rsidRPr="009C704C">
        <w:rPr>
          <w:rFonts w:asciiTheme="majorHAnsi" w:eastAsia="Calibri" w:hAnsiTheme="majorHAnsi" w:cstheme="majorHAnsi"/>
          <w:sz w:val="24"/>
          <w:szCs w:val="24"/>
        </w:rPr>
        <w:t xml:space="preserve">as well as </w:t>
      </w:r>
      <w:r w:rsidR="00271627">
        <w:rPr>
          <w:rFonts w:asciiTheme="majorHAnsi" w:eastAsia="Calibri" w:hAnsiTheme="majorHAnsi" w:cstheme="majorHAnsi"/>
          <w:sz w:val="24"/>
          <w:szCs w:val="24"/>
        </w:rPr>
        <w:t xml:space="preserve">correcting </w:t>
      </w:r>
      <w:r w:rsidR="009359AA" w:rsidRPr="009C704C">
        <w:rPr>
          <w:rFonts w:asciiTheme="majorHAnsi" w:eastAsia="Calibri" w:hAnsiTheme="majorHAnsi" w:cstheme="majorHAnsi"/>
          <w:sz w:val="24"/>
          <w:szCs w:val="24"/>
        </w:rPr>
        <w:t>bias of satellite derived weather parameters (e.g. CHIRPS) using measured station data; derivi</w:t>
      </w:r>
      <w:r w:rsidR="002A2D5B">
        <w:rPr>
          <w:rFonts w:asciiTheme="majorHAnsi" w:eastAsia="Calibri" w:hAnsiTheme="majorHAnsi" w:cstheme="majorHAnsi"/>
          <w:sz w:val="24"/>
          <w:szCs w:val="24"/>
        </w:rPr>
        <w:t>ng</w:t>
      </w:r>
      <w:r w:rsidR="009359AA" w:rsidRPr="009C704C">
        <w:rPr>
          <w:rFonts w:asciiTheme="majorHAnsi" w:eastAsia="Calibri" w:hAnsiTheme="majorHAnsi" w:cstheme="majorHAnsi"/>
          <w:sz w:val="24"/>
          <w:szCs w:val="24"/>
        </w:rPr>
        <w:t xml:space="preserve"> soil parameterization for plot level simulation from landscape datasets (e.g. </w:t>
      </w:r>
      <w:proofErr w:type="spellStart"/>
      <w:r w:rsidR="009359AA" w:rsidRPr="009C704C">
        <w:rPr>
          <w:rFonts w:asciiTheme="majorHAnsi" w:eastAsia="Calibri" w:hAnsiTheme="majorHAnsi" w:cstheme="majorHAnsi"/>
          <w:sz w:val="24"/>
          <w:szCs w:val="24"/>
        </w:rPr>
        <w:t>Af</w:t>
      </w:r>
      <w:r w:rsidR="00EC1A76">
        <w:rPr>
          <w:rFonts w:asciiTheme="majorHAnsi" w:eastAsia="Calibri" w:hAnsiTheme="majorHAnsi" w:cstheme="majorHAnsi"/>
          <w:sz w:val="24"/>
          <w:szCs w:val="24"/>
        </w:rPr>
        <w:t>SIS</w:t>
      </w:r>
      <w:proofErr w:type="spellEnd"/>
      <w:r w:rsidR="009359AA" w:rsidRPr="009C704C">
        <w:rPr>
          <w:rFonts w:asciiTheme="majorHAnsi" w:eastAsia="Calibri" w:hAnsiTheme="majorHAnsi" w:cstheme="majorHAnsi"/>
          <w:sz w:val="24"/>
          <w:szCs w:val="24"/>
        </w:rPr>
        <w:t>)</w:t>
      </w:r>
      <w:r w:rsidR="00DB4829">
        <w:rPr>
          <w:rFonts w:asciiTheme="majorHAnsi" w:eastAsia="Calibri" w:hAnsiTheme="majorHAnsi" w:cstheme="majorHAnsi"/>
          <w:sz w:val="24"/>
          <w:szCs w:val="24"/>
        </w:rPr>
        <w:t xml:space="preserve">, etc. </w:t>
      </w:r>
      <w:r w:rsidR="009359AA" w:rsidRPr="009C704C">
        <w:rPr>
          <w:rFonts w:asciiTheme="majorHAnsi" w:eastAsia="Calibri" w:hAnsiTheme="majorHAnsi" w:cstheme="majorHAnsi"/>
          <w:sz w:val="24"/>
          <w:szCs w:val="24"/>
        </w:rPr>
        <w:t>The central integrator has been to use of crop-soil-climate models</w:t>
      </w:r>
      <w:r w:rsidR="009359AA" w:rsidRPr="009C704C">
        <w:rPr>
          <w:rFonts w:asciiTheme="majorHAnsi" w:hAnsiTheme="majorHAnsi" w:cstheme="majorHAnsi"/>
          <w:sz w:val="24"/>
          <w:szCs w:val="24"/>
        </w:rPr>
        <w:t xml:space="preserve">. A large farmers field survey assessing the effect of trees at a micro-landscape scale (up to 250 m radius buffer) on the natural regulation of the millet head miner (MHM) </w:t>
      </w:r>
      <w:r w:rsidR="00FB2EB7">
        <w:rPr>
          <w:rFonts w:asciiTheme="majorHAnsi" w:hAnsiTheme="majorHAnsi" w:cstheme="majorHAnsi"/>
          <w:sz w:val="24"/>
          <w:szCs w:val="24"/>
        </w:rPr>
        <w:t xml:space="preserve">was conducted </w:t>
      </w:r>
      <w:r w:rsidR="00CB38E1">
        <w:rPr>
          <w:rFonts w:asciiTheme="majorHAnsi" w:hAnsiTheme="majorHAnsi" w:cstheme="majorHAnsi"/>
          <w:sz w:val="24"/>
          <w:szCs w:val="24"/>
        </w:rPr>
        <w:t>with promising findings</w:t>
      </w:r>
      <w:r w:rsidR="009359AA" w:rsidRPr="009C704C">
        <w:rPr>
          <w:rFonts w:asciiTheme="majorHAnsi" w:hAnsiTheme="majorHAnsi" w:cstheme="majorHAnsi"/>
          <w:sz w:val="24"/>
          <w:szCs w:val="24"/>
        </w:rPr>
        <w:t xml:space="preserve">. </w:t>
      </w:r>
      <w:r w:rsidR="00172C7B">
        <w:rPr>
          <w:rFonts w:asciiTheme="majorHAnsi" w:hAnsiTheme="majorHAnsi" w:cstheme="majorHAnsi"/>
          <w:sz w:val="24"/>
          <w:szCs w:val="24"/>
        </w:rPr>
        <w:t>Finally, m</w:t>
      </w:r>
      <w:r w:rsidR="009359AA" w:rsidRPr="009C704C">
        <w:rPr>
          <w:rFonts w:asciiTheme="majorHAnsi" w:hAnsiTheme="majorHAnsi" w:cstheme="majorHAnsi"/>
          <w:sz w:val="24"/>
          <w:szCs w:val="24"/>
        </w:rPr>
        <w:t xml:space="preserve">ulti-location trials for designing suitable </w:t>
      </w:r>
      <w:r w:rsidR="00514BEA">
        <w:rPr>
          <w:rFonts w:asciiTheme="majorHAnsi" w:hAnsiTheme="majorHAnsi" w:cstheme="majorHAnsi"/>
          <w:sz w:val="24"/>
          <w:szCs w:val="24"/>
        </w:rPr>
        <w:t>farming</w:t>
      </w:r>
      <w:r w:rsidR="009359AA" w:rsidRPr="009C704C">
        <w:rPr>
          <w:rFonts w:asciiTheme="majorHAnsi" w:hAnsiTheme="majorHAnsi" w:cstheme="majorHAnsi"/>
          <w:sz w:val="24"/>
          <w:szCs w:val="24"/>
        </w:rPr>
        <w:t xml:space="preserve"> systems for increased resilience and nutrition considering 14 GLDC crop varieties (4 sorghums, 4 millets, 2 peanuts, 4 </w:t>
      </w:r>
      <w:r w:rsidR="009359AA" w:rsidRPr="009C704C">
        <w:rPr>
          <w:rFonts w:asciiTheme="majorHAnsi" w:hAnsiTheme="majorHAnsi" w:cstheme="majorHAnsi"/>
          <w:sz w:val="24"/>
          <w:szCs w:val="24"/>
        </w:rPr>
        <w:lastRenderedPageBreak/>
        <w:t>cowpea) and vegetable crops along with mineral fertilizer assessed on farmers’ field</w:t>
      </w:r>
      <w:r w:rsidR="0052303B">
        <w:rPr>
          <w:rFonts w:asciiTheme="majorHAnsi" w:hAnsiTheme="majorHAnsi" w:cstheme="majorHAnsi"/>
          <w:sz w:val="24"/>
          <w:szCs w:val="24"/>
        </w:rPr>
        <w:t>s</w:t>
      </w:r>
      <w:r w:rsidR="009359AA" w:rsidRPr="009C704C">
        <w:rPr>
          <w:rFonts w:asciiTheme="majorHAnsi" w:hAnsiTheme="majorHAnsi" w:cstheme="majorHAnsi"/>
          <w:sz w:val="24"/>
          <w:szCs w:val="24"/>
        </w:rPr>
        <w:t xml:space="preserve"> in Mali (100), and Burkina Faso (60).</w:t>
      </w:r>
    </w:p>
    <w:p w14:paraId="1916E810" w14:textId="41B8DF8D" w:rsidR="009359AA" w:rsidRPr="009C704C" w:rsidRDefault="00311FA5" w:rsidP="0000156B">
      <w:pPr>
        <w:pStyle w:val="NoSpacing"/>
        <w:rPr>
          <w:rFonts w:asciiTheme="majorHAnsi" w:hAnsiTheme="majorHAnsi" w:cstheme="majorHAnsi"/>
          <w:sz w:val="24"/>
          <w:szCs w:val="24"/>
        </w:rPr>
      </w:pPr>
      <w:r>
        <w:rPr>
          <w:rFonts w:asciiTheme="majorHAnsi" w:hAnsiTheme="majorHAnsi" w:cstheme="majorHAnsi"/>
          <w:sz w:val="24"/>
          <w:szCs w:val="24"/>
        </w:rPr>
        <w:t>Whole</w:t>
      </w:r>
      <w:r w:rsidR="009359AA" w:rsidRPr="009C704C">
        <w:rPr>
          <w:rFonts w:asciiTheme="majorHAnsi" w:hAnsiTheme="majorHAnsi" w:cstheme="majorHAnsi"/>
          <w:sz w:val="24"/>
          <w:szCs w:val="24"/>
        </w:rPr>
        <w:t xml:space="preserve"> farm models were run successfully for 3 districts in India and 2 regions in Niger to support the upscaling of climate resilient agriculture. The cropping system modelling tools </w:t>
      </w:r>
      <w:r w:rsidR="00871F4D">
        <w:rPr>
          <w:rFonts w:asciiTheme="majorHAnsi" w:hAnsiTheme="majorHAnsi" w:cstheme="majorHAnsi"/>
          <w:sz w:val="24"/>
          <w:szCs w:val="24"/>
        </w:rPr>
        <w:t xml:space="preserve">are </w:t>
      </w:r>
      <w:r w:rsidR="00E42791">
        <w:rPr>
          <w:rFonts w:asciiTheme="majorHAnsi" w:hAnsiTheme="majorHAnsi" w:cstheme="majorHAnsi"/>
          <w:sz w:val="24"/>
          <w:szCs w:val="24"/>
        </w:rPr>
        <w:t>run to help</w:t>
      </w:r>
      <w:r w:rsidR="009359AA" w:rsidRPr="009C704C">
        <w:rPr>
          <w:rFonts w:asciiTheme="majorHAnsi" w:hAnsiTheme="majorHAnsi" w:cstheme="majorHAnsi"/>
          <w:sz w:val="24"/>
          <w:szCs w:val="24"/>
        </w:rPr>
        <w:t xml:space="preserve"> the breeding programs </w:t>
      </w:r>
      <w:r w:rsidR="004E3DB4">
        <w:rPr>
          <w:rFonts w:asciiTheme="majorHAnsi" w:hAnsiTheme="majorHAnsi" w:cstheme="majorHAnsi"/>
          <w:sz w:val="24"/>
          <w:szCs w:val="24"/>
        </w:rPr>
        <w:t xml:space="preserve">(FP4 &amp; 5) </w:t>
      </w:r>
      <w:r w:rsidR="009359AA" w:rsidRPr="009C704C">
        <w:rPr>
          <w:rFonts w:asciiTheme="majorHAnsi" w:hAnsiTheme="majorHAnsi" w:cstheme="majorHAnsi"/>
          <w:sz w:val="24"/>
          <w:szCs w:val="24"/>
        </w:rPr>
        <w:t xml:space="preserve">on optimization of </w:t>
      </w:r>
      <w:proofErr w:type="spellStart"/>
      <w:r w:rsidR="009359AA" w:rsidRPr="009C704C">
        <w:rPr>
          <w:rFonts w:asciiTheme="majorHAnsi" w:hAnsiTheme="majorHAnsi" w:cstheme="majorHAnsi"/>
          <w:sz w:val="24"/>
          <w:szCs w:val="24"/>
        </w:rPr>
        <w:t>GxExM</w:t>
      </w:r>
      <w:proofErr w:type="spellEnd"/>
      <w:r w:rsidR="00377C66" w:rsidRPr="009C704C">
        <w:rPr>
          <w:rFonts w:asciiTheme="majorHAnsi" w:hAnsiTheme="majorHAnsi" w:cstheme="majorHAnsi"/>
          <w:sz w:val="24"/>
          <w:szCs w:val="24"/>
        </w:rPr>
        <w:t xml:space="preserve">. </w:t>
      </w:r>
      <w:r w:rsidR="009359AA" w:rsidRPr="009C704C">
        <w:rPr>
          <w:rFonts w:asciiTheme="majorHAnsi" w:hAnsiTheme="majorHAnsi" w:cstheme="majorHAnsi"/>
          <w:color w:val="000000"/>
          <w:sz w:val="24"/>
          <w:szCs w:val="24"/>
          <w:lang w:eastAsia="en-IN"/>
        </w:rPr>
        <w:t xml:space="preserve">System dynamics model for sorghum-dairy value chain analysis with micro level data </w:t>
      </w:r>
      <w:r w:rsidR="00A9677E" w:rsidRPr="009C704C">
        <w:rPr>
          <w:rFonts w:asciiTheme="majorHAnsi" w:hAnsiTheme="majorHAnsi" w:cstheme="majorHAnsi"/>
          <w:color w:val="000000"/>
          <w:sz w:val="24"/>
          <w:szCs w:val="24"/>
          <w:lang w:eastAsia="en-IN"/>
        </w:rPr>
        <w:t>was developed</w:t>
      </w:r>
      <w:r w:rsidR="00F95FA1">
        <w:rPr>
          <w:rFonts w:asciiTheme="majorHAnsi" w:hAnsiTheme="majorHAnsi" w:cstheme="majorHAnsi"/>
          <w:color w:val="000000"/>
          <w:sz w:val="24"/>
          <w:szCs w:val="24"/>
          <w:lang w:eastAsia="en-IN"/>
        </w:rPr>
        <w:t xml:space="preserve"> in Ind</w:t>
      </w:r>
      <w:r w:rsidR="000514CA">
        <w:rPr>
          <w:rFonts w:asciiTheme="majorHAnsi" w:hAnsiTheme="majorHAnsi" w:cstheme="majorHAnsi"/>
          <w:color w:val="000000"/>
          <w:sz w:val="24"/>
          <w:szCs w:val="24"/>
          <w:lang w:eastAsia="en-IN"/>
        </w:rPr>
        <w:t>i</w:t>
      </w:r>
      <w:r w:rsidR="00F95FA1">
        <w:rPr>
          <w:rFonts w:asciiTheme="majorHAnsi" w:hAnsiTheme="majorHAnsi" w:cstheme="majorHAnsi"/>
          <w:color w:val="000000"/>
          <w:sz w:val="24"/>
          <w:szCs w:val="24"/>
          <w:lang w:eastAsia="en-IN"/>
        </w:rPr>
        <w:t>a</w:t>
      </w:r>
      <w:r w:rsidR="00F30873">
        <w:rPr>
          <w:rFonts w:asciiTheme="majorHAnsi" w:hAnsiTheme="majorHAnsi" w:cstheme="majorHAnsi"/>
          <w:color w:val="000000"/>
          <w:sz w:val="24"/>
          <w:szCs w:val="24"/>
          <w:lang w:eastAsia="en-IN"/>
        </w:rPr>
        <w:t xml:space="preserve"> (</w:t>
      </w:r>
      <w:r w:rsidR="004E35D7" w:rsidRPr="00C94241">
        <w:rPr>
          <w:rFonts w:asciiTheme="majorHAnsi" w:hAnsiTheme="majorHAnsi" w:cstheme="majorHAnsi"/>
          <w:color w:val="000000"/>
          <w:sz w:val="24"/>
          <w:szCs w:val="24"/>
          <w:lang w:eastAsia="en-IN"/>
        </w:rPr>
        <w:t xml:space="preserve">cross cutting </w:t>
      </w:r>
      <w:r w:rsidR="001C26BD" w:rsidRPr="00C94241">
        <w:rPr>
          <w:rFonts w:asciiTheme="majorHAnsi" w:hAnsiTheme="majorHAnsi" w:cstheme="majorHAnsi"/>
          <w:sz w:val="24"/>
          <w:szCs w:val="24"/>
        </w:rPr>
        <w:t>MPAB</w:t>
      </w:r>
      <w:r w:rsidR="00F30873" w:rsidRPr="00C94241">
        <w:rPr>
          <w:rFonts w:asciiTheme="majorHAnsi" w:hAnsiTheme="majorHAnsi" w:cstheme="majorHAnsi"/>
          <w:color w:val="000000"/>
          <w:sz w:val="24"/>
          <w:szCs w:val="24"/>
          <w:lang w:eastAsia="en-IN"/>
        </w:rPr>
        <w:t>)</w:t>
      </w:r>
      <w:r w:rsidR="009359AA" w:rsidRPr="00C94241">
        <w:rPr>
          <w:rFonts w:asciiTheme="majorHAnsi" w:hAnsiTheme="majorHAnsi" w:cstheme="majorHAnsi"/>
          <w:color w:val="000000"/>
          <w:sz w:val="24"/>
          <w:szCs w:val="24"/>
          <w:lang w:eastAsia="en-IN"/>
        </w:rPr>
        <w:t>.</w:t>
      </w:r>
      <w:r w:rsidR="0000156B" w:rsidRPr="009C704C">
        <w:rPr>
          <w:rStyle w:val="Hyperlink"/>
          <w:rFonts w:asciiTheme="majorHAnsi" w:eastAsia="Times New Roman" w:hAnsiTheme="majorHAnsi" w:cstheme="majorHAnsi"/>
          <w:sz w:val="24"/>
          <w:szCs w:val="24"/>
          <w:lang w:eastAsia="en-IN"/>
        </w:rPr>
        <w:t xml:space="preserve"> </w:t>
      </w:r>
      <w:r w:rsidR="009359AA" w:rsidRPr="009C704C">
        <w:rPr>
          <w:rFonts w:asciiTheme="majorHAnsi" w:hAnsiTheme="majorHAnsi" w:cstheme="majorHAnsi"/>
          <w:color w:val="000000"/>
          <w:sz w:val="24"/>
          <w:szCs w:val="24"/>
          <w:lang w:eastAsia="en-IN"/>
        </w:rPr>
        <w:t>Farmers in ESA were found to put more value on short term benefits of legumes</w:t>
      </w:r>
      <w:r w:rsidR="00F65A11">
        <w:rPr>
          <w:rFonts w:asciiTheme="majorHAnsi" w:hAnsiTheme="majorHAnsi" w:cstheme="majorHAnsi"/>
          <w:color w:val="000000"/>
          <w:sz w:val="24"/>
          <w:szCs w:val="24"/>
          <w:lang w:eastAsia="en-IN"/>
        </w:rPr>
        <w:t>, thus</w:t>
      </w:r>
      <w:r w:rsidR="004C244A" w:rsidRPr="009C704C">
        <w:rPr>
          <w:rFonts w:asciiTheme="majorHAnsi" w:hAnsiTheme="majorHAnsi" w:cstheme="majorHAnsi"/>
          <w:color w:val="000000"/>
          <w:sz w:val="24"/>
          <w:szCs w:val="24"/>
          <w:lang w:eastAsia="en-IN"/>
        </w:rPr>
        <w:t xml:space="preserve"> </w:t>
      </w:r>
      <w:r w:rsidR="00647584" w:rsidRPr="009C704C">
        <w:rPr>
          <w:rFonts w:asciiTheme="majorHAnsi" w:hAnsiTheme="majorHAnsi" w:cstheme="majorHAnsi"/>
          <w:color w:val="000000"/>
          <w:sz w:val="24"/>
          <w:szCs w:val="24"/>
          <w:lang w:eastAsia="en-IN"/>
        </w:rPr>
        <w:t>disagree</w:t>
      </w:r>
      <w:r w:rsidR="00F65A11">
        <w:rPr>
          <w:rFonts w:asciiTheme="majorHAnsi" w:hAnsiTheme="majorHAnsi" w:cstheme="majorHAnsi"/>
          <w:color w:val="000000"/>
          <w:sz w:val="24"/>
          <w:szCs w:val="24"/>
          <w:lang w:eastAsia="en-IN"/>
        </w:rPr>
        <w:t>ing</w:t>
      </w:r>
      <w:r w:rsidR="00647584" w:rsidRPr="009C704C">
        <w:rPr>
          <w:rFonts w:asciiTheme="majorHAnsi" w:hAnsiTheme="majorHAnsi" w:cstheme="majorHAnsi"/>
          <w:color w:val="000000"/>
          <w:sz w:val="24"/>
          <w:szCs w:val="24"/>
          <w:lang w:eastAsia="en-IN"/>
        </w:rPr>
        <w:t xml:space="preserve"> views of </w:t>
      </w:r>
      <w:r w:rsidR="009359AA" w:rsidRPr="009C704C">
        <w:rPr>
          <w:rFonts w:asciiTheme="majorHAnsi" w:hAnsiTheme="majorHAnsi" w:cstheme="majorHAnsi"/>
          <w:color w:val="000000"/>
          <w:sz w:val="24"/>
          <w:szCs w:val="24"/>
          <w:lang w:eastAsia="en-IN"/>
        </w:rPr>
        <w:t xml:space="preserve">aid agencies and national governments </w:t>
      </w:r>
      <w:r w:rsidR="00647584" w:rsidRPr="009C704C">
        <w:rPr>
          <w:rFonts w:asciiTheme="majorHAnsi" w:hAnsiTheme="majorHAnsi" w:cstheme="majorHAnsi"/>
          <w:color w:val="000000"/>
          <w:sz w:val="24"/>
          <w:szCs w:val="24"/>
          <w:lang w:eastAsia="en-IN"/>
        </w:rPr>
        <w:t>looking at</w:t>
      </w:r>
      <w:r w:rsidR="009359AA" w:rsidRPr="009C704C">
        <w:rPr>
          <w:rFonts w:asciiTheme="majorHAnsi" w:hAnsiTheme="majorHAnsi" w:cstheme="majorHAnsi"/>
          <w:color w:val="000000"/>
          <w:sz w:val="24"/>
          <w:szCs w:val="24"/>
          <w:lang w:eastAsia="en-IN"/>
        </w:rPr>
        <w:t xml:space="preserve"> long term</w:t>
      </w:r>
      <w:r w:rsidR="00EA1DE4">
        <w:rPr>
          <w:rFonts w:asciiTheme="majorHAnsi" w:hAnsiTheme="majorHAnsi" w:cstheme="majorHAnsi"/>
          <w:color w:val="000000"/>
          <w:sz w:val="24"/>
          <w:szCs w:val="24"/>
          <w:lang w:eastAsia="en-IN"/>
        </w:rPr>
        <w:t xml:space="preserve"> (FP1 priorities setting)</w:t>
      </w:r>
      <w:r w:rsidR="009359AA" w:rsidRPr="009C704C">
        <w:rPr>
          <w:rFonts w:asciiTheme="majorHAnsi" w:hAnsiTheme="majorHAnsi" w:cstheme="majorHAnsi"/>
          <w:color w:val="333333"/>
          <w:sz w:val="24"/>
          <w:szCs w:val="24"/>
        </w:rPr>
        <w:t>.</w:t>
      </w:r>
    </w:p>
    <w:p w14:paraId="537FF145" w14:textId="3F90DEAC" w:rsidR="009359AA" w:rsidRPr="00FA70F4" w:rsidRDefault="007A4EF8" w:rsidP="00FA70F4">
      <w:pPr>
        <w:pStyle w:val="NoSpacing"/>
        <w:rPr>
          <w:rFonts w:asciiTheme="majorHAnsi" w:hAnsiTheme="majorHAnsi" w:cstheme="majorHAnsi"/>
          <w:sz w:val="24"/>
          <w:szCs w:val="24"/>
        </w:rPr>
      </w:pPr>
      <w:r w:rsidRPr="00FA70F4">
        <w:rPr>
          <w:rFonts w:asciiTheme="majorHAnsi" w:hAnsiTheme="majorHAnsi" w:cstheme="majorHAnsi"/>
          <w:sz w:val="24"/>
          <w:szCs w:val="24"/>
          <w:lang w:val="en-IN"/>
        </w:rPr>
        <w:t>Ab</w:t>
      </w:r>
      <w:r w:rsidR="0088082B" w:rsidRPr="00FA70F4">
        <w:rPr>
          <w:rFonts w:asciiTheme="majorHAnsi" w:hAnsiTheme="majorHAnsi" w:cstheme="majorHAnsi"/>
          <w:sz w:val="24"/>
          <w:szCs w:val="24"/>
          <w:lang w:val="en-IN"/>
        </w:rPr>
        <w:t xml:space="preserve">out </w:t>
      </w:r>
      <w:r w:rsidR="009359AA" w:rsidRPr="00FA70F4">
        <w:rPr>
          <w:rFonts w:asciiTheme="majorHAnsi" w:hAnsiTheme="majorHAnsi" w:cstheme="majorHAnsi"/>
          <w:sz w:val="24"/>
          <w:szCs w:val="24"/>
          <w:lang w:val="en-IN"/>
        </w:rPr>
        <w:t>knowledge for targeting gender and nutrition under GLDC farming systems</w:t>
      </w:r>
      <w:r w:rsidR="0088082B" w:rsidRPr="00FA70F4">
        <w:rPr>
          <w:rFonts w:asciiTheme="majorHAnsi" w:hAnsiTheme="majorHAnsi" w:cstheme="majorHAnsi"/>
          <w:sz w:val="24"/>
          <w:szCs w:val="24"/>
          <w:lang w:val="en-IN"/>
        </w:rPr>
        <w:t>,</w:t>
      </w:r>
      <w:r w:rsidR="0088082B" w:rsidRPr="00FA70F4">
        <w:rPr>
          <w:rFonts w:asciiTheme="majorHAnsi" w:hAnsiTheme="majorHAnsi" w:cstheme="majorHAnsi"/>
          <w:sz w:val="24"/>
          <w:szCs w:val="24"/>
        </w:rPr>
        <w:t xml:space="preserve"> g</w:t>
      </w:r>
      <w:r w:rsidR="009359AA" w:rsidRPr="00FA70F4">
        <w:rPr>
          <w:rFonts w:asciiTheme="majorHAnsi" w:hAnsiTheme="majorHAnsi" w:cstheme="majorHAnsi"/>
          <w:sz w:val="24"/>
          <w:szCs w:val="24"/>
        </w:rPr>
        <w:t>ender</w:t>
      </w:r>
      <w:r w:rsidR="009C617B">
        <w:rPr>
          <w:rFonts w:asciiTheme="majorHAnsi" w:hAnsiTheme="majorHAnsi" w:cstheme="majorHAnsi"/>
          <w:sz w:val="24"/>
          <w:szCs w:val="24"/>
        </w:rPr>
        <w:t>-</w:t>
      </w:r>
      <w:r w:rsidR="00D54043">
        <w:rPr>
          <w:rFonts w:asciiTheme="majorHAnsi" w:hAnsiTheme="majorHAnsi" w:cstheme="majorHAnsi"/>
          <w:sz w:val="24"/>
          <w:szCs w:val="24"/>
        </w:rPr>
        <w:t xml:space="preserve">oriented adoption studies were </w:t>
      </w:r>
      <w:r w:rsidR="000C40EA">
        <w:rPr>
          <w:rFonts w:asciiTheme="majorHAnsi" w:hAnsiTheme="majorHAnsi" w:cstheme="majorHAnsi"/>
          <w:sz w:val="24"/>
          <w:szCs w:val="24"/>
        </w:rPr>
        <w:t xml:space="preserve">conducted </w:t>
      </w:r>
      <w:r w:rsidR="009359AA" w:rsidRPr="00FA70F4">
        <w:rPr>
          <w:rFonts w:asciiTheme="majorHAnsi" w:hAnsiTheme="majorHAnsi" w:cstheme="majorHAnsi"/>
          <w:sz w:val="24"/>
          <w:szCs w:val="24"/>
        </w:rPr>
        <w:t xml:space="preserve">in Burkina Faso </w:t>
      </w:r>
      <w:r w:rsidR="00E414C2">
        <w:rPr>
          <w:rFonts w:asciiTheme="majorHAnsi" w:hAnsiTheme="majorHAnsi" w:cstheme="majorHAnsi"/>
          <w:sz w:val="24"/>
          <w:szCs w:val="24"/>
        </w:rPr>
        <w:t xml:space="preserve">for cowpea </w:t>
      </w:r>
      <w:r w:rsidR="000F5EE9">
        <w:rPr>
          <w:rFonts w:asciiTheme="majorHAnsi" w:hAnsiTheme="majorHAnsi" w:cstheme="majorHAnsi"/>
          <w:sz w:val="24"/>
          <w:szCs w:val="24"/>
        </w:rPr>
        <w:t xml:space="preserve">and </w:t>
      </w:r>
      <w:r w:rsidR="009359AA" w:rsidRPr="00FA70F4">
        <w:rPr>
          <w:rFonts w:asciiTheme="majorHAnsi" w:hAnsiTheme="majorHAnsi" w:cstheme="majorHAnsi"/>
          <w:sz w:val="24"/>
          <w:szCs w:val="24"/>
        </w:rPr>
        <w:t>in Ethiopia</w:t>
      </w:r>
      <w:r w:rsidR="006079B1">
        <w:rPr>
          <w:rFonts w:asciiTheme="majorHAnsi" w:hAnsiTheme="majorHAnsi" w:cstheme="majorHAnsi"/>
          <w:sz w:val="24"/>
          <w:szCs w:val="24"/>
        </w:rPr>
        <w:t xml:space="preserve"> for</w:t>
      </w:r>
      <w:r w:rsidR="009359AA" w:rsidRPr="00FA70F4">
        <w:rPr>
          <w:rFonts w:asciiTheme="majorHAnsi" w:hAnsiTheme="majorHAnsi" w:cstheme="majorHAnsi"/>
          <w:sz w:val="24"/>
          <w:szCs w:val="24"/>
        </w:rPr>
        <w:t xml:space="preserve"> lentil and chickpea varieties. </w:t>
      </w:r>
      <w:r w:rsidR="00730B30">
        <w:rPr>
          <w:rFonts w:asciiTheme="majorHAnsi" w:hAnsiTheme="majorHAnsi" w:cstheme="majorHAnsi"/>
          <w:sz w:val="24"/>
          <w:szCs w:val="24"/>
        </w:rPr>
        <w:t>On nutrition side,</w:t>
      </w:r>
      <w:r w:rsidR="009359AA" w:rsidRPr="00FA70F4">
        <w:rPr>
          <w:rFonts w:asciiTheme="majorHAnsi" w:hAnsiTheme="majorHAnsi" w:cstheme="majorHAnsi"/>
          <w:sz w:val="24"/>
          <w:szCs w:val="24"/>
        </w:rPr>
        <w:t xml:space="preserve"> KAP surveys reveal</w:t>
      </w:r>
      <w:r w:rsidR="00730B30">
        <w:rPr>
          <w:rFonts w:asciiTheme="majorHAnsi" w:hAnsiTheme="majorHAnsi" w:cstheme="majorHAnsi"/>
          <w:sz w:val="24"/>
          <w:szCs w:val="24"/>
        </w:rPr>
        <w:t>ed</w:t>
      </w:r>
      <w:r w:rsidR="009359AA" w:rsidRPr="00FA70F4">
        <w:rPr>
          <w:rFonts w:asciiTheme="majorHAnsi" w:hAnsiTheme="majorHAnsi" w:cstheme="majorHAnsi"/>
          <w:sz w:val="24"/>
          <w:szCs w:val="24"/>
        </w:rPr>
        <w:t xml:space="preserve"> misconceptions that may be the potential barriers to consumption behavior change. </w:t>
      </w:r>
      <w:r w:rsidR="009E334E">
        <w:rPr>
          <w:rFonts w:asciiTheme="majorHAnsi" w:hAnsiTheme="majorHAnsi" w:cstheme="majorHAnsi"/>
          <w:sz w:val="24"/>
          <w:szCs w:val="24"/>
        </w:rPr>
        <w:t>Therefore, a</w:t>
      </w:r>
      <w:r w:rsidR="009359AA" w:rsidRPr="00FA70F4">
        <w:rPr>
          <w:rFonts w:asciiTheme="majorHAnsi" w:hAnsiTheme="majorHAnsi" w:cstheme="majorHAnsi"/>
          <w:sz w:val="24"/>
          <w:szCs w:val="24"/>
        </w:rPr>
        <w:t xml:space="preserve"> holistic package of nutrition education </w:t>
      </w:r>
      <w:r w:rsidR="002F489F">
        <w:rPr>
          <w:rFonts w:asciiTheme="majorHAnsi" w:hAnsiTheme="majorHAnsi" w:cstheme="majorHAnsi"/>
          <w:sz w:val="24"/>
          <w:szCs w:val="24"/>
        </w:rPr>
        <w:t xml:space="preserve">was </w:t>
      </w:r>
      <w:r w:rsidR="009359AA" w:rsidRPr="00FA70F4">
        <w:rPr>
          <w:rFonts w:asciiTheme="majorHAnsi" w:hAnsiTheme="majorHAnsi" w:cstheme="majorHAnsi"/>
          <w:sz w:val="24"/>
          <w:szCs w:val="24"/>
        </w:rPr>
        <w:t>designed to lay the foundations f</w:t>
      </w:r>
      <w:r w:rsidR="00CA25BE">
        <w:rPr>
          <w:rFonts w:asciiTheme="majorHAnsi" w:hAnsiTheme="majorHAnsi" w:cstheme="majorHAnsi"/>
          <w:sz w:val="24"/>
          <w:szCs w:val="24"/>
        </w:rPr>
        <w:t>or</w:t>
      </w:r>
      <w:r w:rsidR="009359AA" w:rsidRPr="00FA70F4">
        <w:rPr>
          <w:rFonts w:asciiTheme="majorHAnsi" w:hAnsiTheme="majorHAnsi" w:cstheme="majorHAnsi"/>
          <w:sz w:val="24"/>
          <w:szCs w:val="24"/>
        </w:rPr>
        <w:t xml:space="preserve"> nutritional</w:t>
      </w:r>
      <w:r w:rsidR="009359AA" w:rsidRPr="00FA70F4">
        <w:rPr>
          <w:rFonts w:asciiTheme="majorHAnsi" w:hAnsiTheme="majorHAnsi" w:cstheme="majorHAnsi"/>
          <w:color w:val="000000"/>
          <w:sz w:val="24"/>
          <w:szCs w:val="24"/>
        </w:rPr>
        <w:t xml:space="preserve"> knowledge and attitudes.</w:t>
      </w:r>
    </w:p>
    <w:p w14:paraId="35ABD84B" w14:textId="77777777" w:rsidR="00CA73DC" w:rsidRDefault="00CA73DC" w:rsidP="006E40C8">
      <w:pPr>
        <w:jc w:val="both"/>
      </w:pPr>
    </w:p>
    <w:p w14:paraId="13589294" w14:textId="77777777" w:rsidR="006E40C8" w:rsidRPr="00614496" w:rsidRDefault="006E40C8" w:rsidP="006E40C8">
      <w:pPr>
        <w:pStyle w:val="Heading1"/>
        <w:rPr>
          <w:color w:val="BFBFBF" w:themeColor="background1" w:themeShade="BF"/>
          <w:sz w:val="24"/>
        </w:rPr>
      </w:pPr>
      <w:bookmarkStart w:id="5" w:name="_Toc535553051"/>
      <w:bookmarkStart w:id="6" w:name="_Toc535554730"/>
      <w:bookmarkStart w:id="7" w:name="_Toc535554952"/>
      <w:bookmarkStart w:id="8" w:name="_Toc535554993"/>
      <w:r w:rsidRPr="00614496">
        <w:rPr>
          <w:color w:val="BFBFBF" w:themeColor="background1" w:themeShade="BF"/>
          <w:sz w:val="24"/>
        </w:rPr>
        <w:t>Variance from Planned Program for this year</w:t>
      </w:r>
      <w:bookmarkEnd w:id="5"/>
      <w:bookmarkEnd w:id="6"/>
      <w:bookmarkEnd w:id="7"/>
      <w:bookmarkEnd w:id="8"/>
    </w:p>
    <w:p w14:paraId="47FBF834" w14:textId="6ECEBF0F" w:rsidR="006E40C8" w:rsidRDefault="006E40C8" w:rsidP="006E40C8">
      <w:pPr>
        <w:jc w:val="both"/>
      </w:pPr>
      <w:r>
        <w:t>(a) Have any promising research areas been significantly expanded? If so, for each example, please explain clearly where the demand came from (promising research results, demand from partners etc.). Where has the money for expansion come from? (max. 150 words)</w:t>
      </w:r>
    </w:p>
    <w:p w14:paraId="27138C0A" w14:textId="2E72D196" w:rsidR="00B10742" w:rsidRPr="00A66122" w:rsidRDefault="00A66122" w:rsidP="00B10742">
      <w:pPr>
        <w:pStyle w:val="NoSpacing"/>
        <w:rPr>
          <w:rFonts w:asciiTheme="majorHAnsi" w:hAnsiTheme="majorHAnsi" w:cstheme="majorHAnsi"/>
          <w:sz w:val="24"/>
          <w:szCs w:val="24"/>
        </w:rPr>
      </w:pPr>
      <w:r>
        <w:rPr>
          <w:rFonts w:asciiTheme="majorHAnsi" w:eastAsia="Calibri" w:hAnsiTheme="majorHAnsi" w:cstheme="majorHAnsi"/>
          <w:sz w:val="24"/>
          <w:szCs w:val="24"/>
        </w:rPr>
        <w:t>Two main areas have been expanded</w:t>
      </w:r>
      <w:r w:rsidR="00B26EBB">
        <w:rPr>
          <w:rFonts w:asciiTheme="majorHAnsi" w:eastAsia="Calibri" w:hAnsiTheme="majorHAnsi" w:cstheme="majorHAnsi"/>
          <w:sz w:val="24"/>
          <w:szCs w:val="24"/>
        </w:rPr>
        <w:t xml:space="preserve"> with in CoA3.3</w:t>
      </w:r>
      <w:r>
        <w:rPr>
          <w:rFonts w:asciiTheme="majorHAnsi" w:eastAsia="Calibri" w:hAnsiTheme="majorHAnsi" w:cstheme="majorHAnsi"/>
          <w:sz w:val="24"/>
          <w:szCs w:val="24"/>
        </w:rPr>
        <w:t xml:space="preserve">. </w:t>
      </w:r>
      <w:r w:rsidR="00B10742" w:rsidRPr="00A66122">
        <w:rPr>
          <w:rFonts w:asciiTheme="majorHAnsi" w:eastAsia="Calibri" w:hAnsiTheme="majorHAnsi" w:cstheme="majorHAnsi"/>
          <w:sz w:val="24"/>
          <w:szCs w:val="24"/>
        </w:rPr>
        <w:t xml:space="preserve">GLDC helped leverage bilateral project funding (ESA- MSU and Africa Rising; WCA - ATSAP and TAAT; SA – ICAR, SDC, </w:t>
      </w:r>
      <w:proofErr w:type="spellStart"/>
      <w:r w:rsidR="00B10742" w:rsidRPr="00A66122">
        <w:rPr>
          <w:rFonts w:asciiTheme="majorHAnsi" w:eastAsia="Calibri" w:hAnsiTheme="majorHAnsi" w:cstheme="majorHAnsi"/>
          <w:sz w:val="24"/>
          <w:szCs w:val="24"/>
        </w:rPr>
        <w:t>Mahalanobis</w:t>
      </w:r>
      <w:proofErr w:type="spellEnd"/>
      <w:r w:rsidR="00B10742" w:rsidRPr="00A66122">
        <w:rPr>
          <w:rFonts w:asciiTheme="majorHAnsi" w:eastAsia="Calibri" w:hAnsiTheme="majorHAnsi" w:cstheme="majorHAnsi"/>
          <w:sz w:val="24"/>
          <w:szCs w:val="24"/>
        </w:rPr>
        <w:t xml:space="preserve"> National Crop Forecast Centre (MNCFC), India) and the communities of practice (AGMIP, Big Data for Agriculture</w:t>
      </w:r>
      <w:r w:rsidR="00D85702">
        <w:rPr>
          <w:rFonts w:asciiTheme="majorHAnsi" w:eastAsia="Calibri" w:hAnsiTheme="majorHAnsi" w:cstheme="majorHAnsi"/>
          <w:sz w:val="24"/>
          <w:szCs w:val="24"/>
        </w:rPr>
        <w:t xml:space="preserve"> </w:t>
      </w:r>
      <w:r w:rsidR="00B10742" w:rsidRPr="00A66122">
        <w:rPr>
          <w:rFonts w:asciiTheme="majorHAnsi" w:eastAsia="Calibri" w:hAnsiTheme="majorHAnsi" w:cstheme="majorHAnsi"/>
          <w:sz w:val="24"/>
          <w:szCs w:val="24"/>
        </w:rPr>
        <w:t>Innovation</w:t>
      </w:r>
      <w:r w:rsidR="00D85702">
        <w:rPr>
          <w:rFonts w:asciiTheme="majorHAnsi" w:eastAsia="Calibri" w:hAnsiTheme="majorHAnsi" w:cstheme="majorHAnsi"/>
          <w:sz w:val="24"/>
          <w:szCs w:val="24"/>
        </w:rPr>
        <w:t>)</w:t>
      </w:r>
      <w:r w:rsidR="00B10742" w:rsidRPr="00A66122">
        <w:rPr>
          <w:rFonts w:asciiTheme="majorHAnsi" w:eastAsia="Calibri" w:hAnsiTheme="majorHAnsi" w:cstheme="majorHAnsi"/>
          <w:sz w:val="24"/>
          <w:szCs w:val="24"/>
        </w:rPr>
        <w:t xml:space="preserve"> in the application of integrative data analysis</w:t>
      </w:r>
      <w:r w:rsidR="00B10742" w:rsidRPr="00A66122">
        <w:rPr>
          <w:rFonts w:asciiTheme="majorHAnsi" w:hAnsiTheme="majorHAnsi" w:cstheme="majorHAnsi"/>
          <w:sz w:val="24"/>
          <w:szCs w:val="24"/>
        </w:rPr>
        <w:t>.</w:t>
      </w:r>
    </w:p>
    <w:p w14:paraId="33F0230A" w14:textId="77777777" w:rsidR="00B10742" w:rsidRPr="00A66122" w:rsidRDefault="00B10742" w:rsidP="00B10742">
      <w:pPr>
        <w:pStyle w:val="NoSpacing"/>
        <w:rPr>
          <w:rFonts w:asciiTheme="majorHAnsi" w:hAnsiTheme="majorHAnsi" w:cstheme="majorHAnsi"/>
          <w:sz w:val="24"/>
          <w:szCs w:val="24"/>
        </w:rPr>
      </w:pPr>
    </w:p>
    <w:p w14:paraId="7341777F" w14:textId="05DF2D41" w:rsidR="0073033D" w:rsidRDefault="00B10742" w:rsidP="00FB0C63">
      <w:pPr>
        <w:pStyle w:val="NoSpacing"/>
        <w:rPr>
          <w:rFonts w:asciiTheme="majorHAnsi" w:hAnsiTheme="majorHAnsi" w:cstheme="majorHAnsi"/>
          <w:color w:val="000000" w:themeColor="text1"/>
          <w:sz w:val="24"/>
          <w:szCs w:val="24"/>
        </w:rPr>
      </w:pPr>
      <w:r w:rsidRPr="00A66122">
        <w:rPr>
          <w:rFonts w:asciiTheme="majorHAnsi" w:hAnsiTheme="majorHAnsi" w:cstheme="majorHAnsi"/>
          <w:sz w:val="24"/>
          <w:szCs w:val="24"/>
        </w:rPr>
        <w:t>Through ICRISAT and ILRI partnership synergy</w:t>
      </w:r>
      <w:r w:rsidR="00FA1434">
        <w:rPr>
          <w:rFonts w:asciiTheme="majorHAnsi" w:hAnsiTheme="majorHAnsi" w:cstheme="majorHAnsi"/>
          <w:sz w:val="24"/>
          <w:szCs w:val="24"/>
        </w:rPr>
        <w:t>,</w:t>
      </w:r>
      <w:r w:rsidRPr="00A66122">
        <w:rPr>
          <w:rFonts w:asciiTheme="majorHAnsi" w:hAnsiTheme="majorHAnsi" w:cstheme="majorHAnsi"/>
          <w:sz w:val="24"/>
          <w:szCs w:val="24"/>
        </w:rPr>
        <w:t xml:space="preserve"> GLDC work on whole farm modelling and fodder production potential </w:t>
      </w:r>
      <w:r w:rsidR="000859D4">
        <w:rPr>
          <w:rFonts w:asciiTheme="majorHAnsi" w:hAnsiTheme="majorHAnsi" w:cstheme="majorHAnsi"/>
          <w:sz w:val="24"/>
          <w:szCs w:val="24"/>
        </w:rPr>
        <w:t xml:space="preserve">is being integrated </w:t>
      </w:r>
      <w:r w:rsidRPr="00A66122">
        <w:rPr>
          <w:rFonts w:asciiTheme="majorHAnsi" w:hAnsiTheme="majorHAnsi" w:cstheme="majorHAnsi"/>
          <w:sz w:val="24"/>
          <w:szCs w:val="24"/>
        </w:rPr>
        <w:t>into PIM activity of Cattle value chain competitive assessment in West Africa.</w:t>
      </w:r>
      <w:r w:rsidR="00FB0C63">
        <w:rPr>
          <w:rFonts w:asciiTheme="majorHAnsi" w:hAnsiTheme="majorHAnsi" w:cstheme="majorHAnsi"/>
          <w:sz w:val="24"/>
          <w:szCs w:val="24"/>
        </w:rPr>
        <w:t xml:space="preserve"> </w:t>
      </w:r>
      <w:r w:rsidR="0024672E">
        <w:rPr>
          <w:rFonts w:asciiTheme="majorHAnsi" w:hAnsiTheme="majorHAnsi" w:cstheme="majorHAnsi"/>
          <w:color w:val="000000" w:themeColor="text1"/>
          <w:sz w:val="24"/>
          <w:szCs w:val="24"/>
        </w:rPr>
        <w:t>W</w:t>
      </w:r>
      <w:r w:rsidRPr="00A66122">
        <w:rPr>
          <w:rFonts w:asciiTheme="majorHAnsi" w:hAnsiTheme="majorHAnsi" w:cstheme="majorHAnsi"/>
          <w:color w:val="000000" w:themeColor="text1"/>
          <w:sz w:val="24"/>
          <w:szCs w:val="24"/>
        </w:rPr>
        <w:t>e</w:t>
      </w:r>
      <w:r w:rsidR="0024672E">
        <w:rPr>
          <w:rFonts w:asciiTheme="majorHAnsi" w:hAnsiTheme="majorHAnsi" w:cstheme="majorHAnsi"/>
          <w:color w:val="000000" w:themeColor="text1"/>
          <w:sz w:val="24"/>
          <w:szCs w:val="24"/>
        </w:rPr>
        <w:t>’ve</w:t>
      </w:r>
      <w:r w:rsidRPr="00A66122">
        <w:rPr>
          <w:rFonts w:asciiTheme="majorHAnsi" w:hAnsiTheme="majorHAnsi" w:cstheme="majorHAnsi"/>
          <w:color w:val="000000" w:themeColor="text1"/>
          <w:sz w:val="24"/>
          <w:szCs w:val="24"/>
        </w:rPr>
        <w:t xml:space="preserve"> use</w:t>
      </w:r>
      <w:r w:rsidR="0024672E">
        <w:rPr>
          <w:rFonts w:asciiTheme="majorHAnsi" w:hAnsiTheme="majorHAnsi" w:cstheme="majorHAnsi"/>
          <w:color w:val="000000" w:themeColor="text1"/>
          <w:sz w:val="24"/>
          <w:szCs w:val="24"/>
        </w:rPr>
        <w:t>d</w:t>
      </w:r>
      <w:r w:rsidRPr="00A66122">
        <w:rPr>
          <w:rFonts w:asciiTheme="majorHAnsi" w:hAnsiTheme="majorHAnsi" w:cstheme="majorHAnsi"/>
          <w:color w:val="000000" w:themeColor="text1"/>
          <w:sz w:val="24"/>
          <w:szCs w:val="24"/>
        </w:rPr>
        <w:t xml:space="preserve"> an integrated whole farm model with a livestock model as part of it, to generate scenarios of animal </w:t>
      </w:r>
      <w:r w:rsidR="0031613A">
        <w:rPr>
          <w:rFonts w:asciiTheme="majorHAnsi" w:hAnsiTheme="majorHAnsi" w:cstheme="majorHAnsi"/>
          <w:color w:val="000000" w:themeColor="text1"/>
          <w:sz w:val="24"/>
          <w:szCs w:val="24"/>
        </w:rPr>
        <w:t>performance</w:t>
      </w:r>
      <w:r w:rsidRPr="00A66122">
        <w:rPr>
          <w:rFonts w:asciiTheme="majorHAnsi" w:hAnsiTheme="majorHAnsi" w:cstheme="majorHAnsi"/>
          <w:color w:val="000000" w:themeColor="text1"/>
          <w:sz w:val="24"/>
          <w:szCs w:val="24"/>
        </w:rPr>
        <w:t xml:space="preserve"> associated with increasing access </w:t>
      </w:r>
      <w:r w:rsidR="00BE21FD">
        <w:rPr>
          <w:rFonts w:asciiTheme="majorHAnsi" w:hAnsiTheme="majorHAnsi" w:cstheme="majorHAnsi"/>
          <w:color w:val="000000" w:themeColor="text1"/>
          <w:sz w:val="24"/>
          <w:szCs w:val="24"/>
        </w:rPr>
        <w:t xml:space="preserve">to </w:t>
      </w:r>
      <w:r w:rsidRPr="00A66122">
        <w:rPr>
          <w:rFonts w:asciiTheme="majorHAnsi" w:hAnsiTheme="majorHAnsi" w:cstheme="majorHAnsi"/>
          <w:color w:val="000000" w:themeColor="text1"/>
          <w:sz w:val="24"/>
          <w:szCs w:val="24"/>
        </w:rPr>
        <w:t xml:space="preserve">quality of feed/ fodder. This will help assess the impact of increased fodder yields as crop residues/ cultivated fodder on animal </w:t>
      </w:r>
      <w:r w:rsidR="00BE21FD">
        <w:rPr>
          <w:rFonts w:asciiTheme="majorHAnsi" w:hAnsiTheme="majorHAnsi" w:cstheme="majorHAnsi"/>
          <w:color w:val="000000" w:themeColor="text1"/>
          <w:sz w:val="24"/>
          <w:szCs w:val="24"/>
        </w:rPr>
        <w:t>performance</w:t>
      </w:r>
      <w:r w:rsidRPr="00A66122">
        <w:rPr>
          <w:rFonts w:asciiTheme="majorHAnsi" w:hAnsiTheme="majorHAnsi" w:cstheme="majorHAnsi"/>
          <w:color w:val="000000" w:themeColor="text1"/>
          <w:sz w:val="24"/>
          <w:szCs w:val="24"/>
        </w:rPr>
        <w:t xml:space="preserve">, </w:t>
      </w:r>
      <w:r w:rsidR="00D15AD4">
        <w:rPr>
          <w:rFonts w:asciiTheme="majorHAnsi" w:hAnsiTheme="majorHAnsi" w:cstheme="majorHAnsi"/>
          <w:color w:val="000000" w:themeColor="text1"/>
          <w:sz w:val="24"/>
          <w:szCs w:val="24"/>
        </w:rPr>
        <w:t xml:space="preserve">and </w:t>
      </w:r>
      <w:r w:rsidR="00FC3D20">
        <w:rPr>
          <w:rFonts w:asciiTheme="majorHAnsi" w:hAnsiTheme="majorHAnsi" w:cstheme="majorHAnsi"/>
          <w:color w:val="000000" w:themeColor="text1"/>
          <w:sz w:val="24"/>
          <w:szCs w:val="24"/>
        </w:rPr>
        <w:t>ultimately on</w:t>
      </w:r>
      <w:r w:rsidRPr="00A66122">
        <w:rPr>
          <w:rFonts w:asciiTheme="majorHAnsi" w:hAnsiTheme="majorHAnsi" w:cstheme="majorHAnsi"/>
          <w:color w:val="000000" w:themeColor="text1"/>
          <w:sz w:val="24"/>
          <w:szCs w:val="24"/>
        </w:rPr>
        <w:t xml:space="preserve"> market value and income from livestock.</w:t>
      </w:r>
    </w:p>
    <w:p w14:paraId="5DD7CE35" w14:textId="77777777" w:rsidR="00B26EBB" w:rsidRPr="00A66122" w:rsidRDefault="00B26EBB" w:rsidP="00FB0C63">
      <w:pPr>
        <w:pStyle w:val="NoSpacing"/>
        <w:rPr>
          <w:rFonts w:asciiTheme="majorHAnsi" w:hAnsiTheme="majorHAnsi" w:cstheme="majorHAnsi"/>
          <w:sz w:val="24"/>
          <w:szCs w:val="24"/>
        </w:rPr>
      </w:pPr>
    </w:p>
    <w:p w14:paraId="286DC4D3" w14:textId="16398F4A" w:rsidR="006E40C8" w:rsidRDefault="006E40C8" w:rsidP="006E40C8">
      <w:pPr>
        <w:jc w:val="both"/>
      </w:pPr>
      <w:r w:rsidRPr="00A66122">
        <w:rPr>
          <w:rFonts w:asciiTheme="majorHAnsi" w:hAnsiTheme="majorHAnsi" w:cstheme="majorHAnsi"/>
        </w:rPr>
        <w:t>(</w:t>
      </w:r>
      <w:r>
        <w:t>b) Have any research lines been dropped or significantly cut back? (Please note that cutting research lines which do not seem to be delivering is seen by Funders and System Organization as a sign of good management, not of failure.) If so, please give specific examples and brief reasons. If funding was reallocated to other work, where did the money go? (max. 150 words)</w:t>
      </w:r>
    </w:p>
    <w:p w14:paraId="393AD722" w14:textId="079C85D1" w:rsidR="0073033D" w:rsidRPr="00470CE5" w:rsidRDefault="0073033D" w:rsidP="006E40C8">
      <w:pPr>
        <w:jc w:val="both"/>
        <w:rPr>
          <w:rFonts w:asciiTheme="majorHAnsi" w:hAnsiTheme="majorHAnsi" w:cstheme="majorHAnsi"/>
        </w:rPr>
      </w:pPr>
      <w:r w:rsidRPr="00470CE5">
        <w:rPr>
          <w:rFonts w:asciiTheme="majorHAnsi" w:hAnsiTheme="majorHAnsi" w:cstheme="majorHAnsi"/>
        </w:rPr>
        <w:t>N/A</w:t>
      </w:r>
    </w:p>
    <w:p w14:paraId="538A2E37" w14:textId="77777777" w:rsidR="0073033D" w:rsidRDefault="0073033D" w:rsidP="006E40C8">
      <w:pPr>
        <w:jc w:val="both"/>
      </w:pPr>
    </w:p>
    <w:p w14:paraId="162495A4" w14:textId="77777777" w:rsidR="006E40C8" w:rsidRDefault="006E40C8" w:rsidP="006E40C8">
      <w:pPr>
        <w:jc w:val="both"/>
      </w:pPr>
      <w:r>
        <w:t>(c) Have any Flagships or specific research areas changed direction? If so, please describe how, and the reason. (max. 150 words)</w:t>
      </w:r>
    </w:p>
    <w:p w14:paraId="148D76E5" w14:textId="6706120F" w:rsidR="006E40C8" w:rsidRPr="00D57ACD" w:rsidRDefault="00A432FB" w:rsidP="006E40C8">
      <w:pPr>
        <w:jc w:val="both"/>
        <w:rPr>
          <w:rFonts w:asciiTheme="majorHAnsi" w:hAnsiTheme="majorHAnsi" w:cstheme="majorHAnsi"/>
        </w:rPr>
      </w:pPr>
      <w:r w:rsidRPr="00D57ACD">
        <w:rPr>
          <w:rFonts w:asciiTheme="majorHAnsi" w:hAnsiTheme="majorHAnsi" w:cstheme="majorHAnsi"/>
        </w:rPr>
        <w:lastRenderedPageBreak/>
        <w:t>From the last annual meeting</w:t>
      </w:r>
      <w:r w:rsidR="00D57ACD">
        <w:rPr>
          <w:rFonts w:asciiTheme="majorHAnsi" w:hAnsiTheme="majorHAnsi" w:cstheme="majorHAnsi"/>
        </w:rPr>
        <w:t xml:space="preserve"> in December 2019</w:t>
      </w:r>
      <w:r w:rsidRPr="00D57ACD">
        <w:rPr>
          <w:rFonts w:asciiTheme="majorHAnsi" w:hAnsiTheme="majorHAnsi" w:cstheme="majorHAnsi"/>
        </w:rPr>
        <w:t xml:space="preserve">, it was recommended during </w:t>
      </w:r>
      <w:r w:rsidR="00CA11E2">
        <w:rPr>
          <w:rFonts w:asciiTheme="majorHAnsi" w:hAnsiTheme="majorHAnsi" w:cstheme="majorHAnsi"/>
        </w:rPr>
        <w:t xml:space="preserve">the </w:t>
      </w:r>
      <w:r w:rsidRPr="00D57ACD">
        <w:rPr>
          <w:rFonts w:asciiTheme="majorHAnsi" w:hAnsiTheme="majorHAnsi" w:cstheme="majorHAnsi"/>
        </w:rPr>
        <w:t xml:space="preserve">group </w:t>
      </w:r>
      <w:r w:rsidR="007C5AF0" w:rsidRPr="00D57ACD">
        <w:rPr>
          <w:rFonts w:asciiTheme="majorHAnsi" w:hAnsiTheme="majorHAnsi" w:cstheme="majorHAnsi"/>
        </w:rPr>
        <w:t xml:space="preserve">work </w:t>
      </w:r>
      <w:r w:rsidR="000B7DBA" w:rsidRPr="00D57ACD">
        <w:rPr>
          <w:rFonts w:asciiTheme="majorHAnsi" w:hAnsiTheme="majorHAnsi" w:cstheme="majorHAnsi"/>
        </w:rPr>
        <w:t xml:space="preserve">to refocus our efforts in </w:t>
      </w:r>
      <w:r w:rsidR="00666076" w:rsidRPr="00D57ACD">
        <w:rPr>
          <w:rFonts w:asciiTheme="majorHAnsi" w:hAnsiTheme="majorHAnsi" w:cstheme="majorHAnsi"/>
        </w:rPr>
        <w:t>evaluat</w:t>
      </w:r>
      <w:r w:rsidR="000B7DBA" w:rsidRPr="00D57ACD">
        <w:rPr>
          <w:rFonts w:asciiTheme="majorHAnsi" w:hAnsiTheme="majorHAnsi" w:cstheme="majorHAnsi"/>
        </w:rPr>
        <w:t>ing</w:t>
      </w:r>
      <w:r w:rsidR="00666076" w:rsidRPr="00D57ACD">
        <w:rPr>
          <w:rFonts w:asciiTheme="majorHAnsi" w:hAnsiTheme="majorHAnsi" w:cstheme="majorHAnsi"/>
        </w:rPr>
        <w:t xml:space="preserve"> the already existing products promoted by various actors/industry instead of trying to produce our own </w:t>
      </w:r>
      <w:r w:rsidR="002C7116" w:rsidRPr="00D57ACD">
        <w:rPr>
          <w:rFonts w:asciiTheme="majorHAnsi" w:hAnsiTheme="majorHAnsi" w:cstheme="majorHAnsi"/>
        </w:rPr>
        <w:t>bio-fert</w:t>
      </w:r>
      <w:r w:rsidR="00D57ACD" w:rsidRPr="00D57ACD">
        <w:rPr>
          <w:rFonts w:asciiTheme="majorHAnsi" w:hAnsiTheme="majorHAnsi" w:cstheme="majorHAnsi"/>
        </w:rPr>
        <w:t>i</w:t>
      </w:r>
      <w:r w:rsidR="002C7116" w:rsidRPr="00D57ACD">
        <w:rPr>
          <w:rFonts w:asciiTheme="majorHAnsi" w:hAnsiTheme="majorHAnsi" w:cstheme="majorHAnsi"/>
        </w:rPr>
        <w:t>lizers and bio-control</w:t>
      </w:r>
      <w:r w:rsidR="00D57ACD" w:rsidRPr="00D57ACD">
        <w:rPr>
          <w:rFonts w:asciiTheme="majorHAnsi" w:hAnsiTheme="majorHAnsi" w:cstheme="majorHAnsi"/>
        </w:rPr>
        <w:t xml:space="preserve"> agents of pests </w:t>
      </w:r>
      <w:r w:rsidR="00666076" w:rsidRPr="00D57ACD">
        <w:rPr>
          <w:rFonts w:asciiTheme="majorHAnsi" w:hAnsiTheme="majorHAnsi" w:cstheme="majorHAnsi"/>
        </w:rPr>
        <w:t>given the time constraints</w:t>
      </w:r>
      <w:r w:rsidR="00BA5407">
        <w:rPr>
          <w:rFonts w:asciiTheme="majorHAnsi" w:hAnsiTheme="majorHAnsi" w:cstheme="majorHAnsi"/>
        </w:rPr>
        <w:t>.</w:t>
      </w:r>
    </w:p>
    <w:p w14:paraId="1216D928" w14:textId="77777777" w:rsidR="006E40C8" w:rsidRPr="00614496" w:rsidRDefault="006E40C8" w:rsidP="006E40C8">
      <w:pPr>
        <w:pStyle w:val="Heading1"/>
        <w:rPr>
          <w:color w:val="BFBFBF" w:themeColor="background1" w:themeShade="BF"/>
          <w:sz w:val="24"/>
        </w:rPr>
      </w:pPr>
      <w:bookmarkStart w:id="9" w:name="_Toc535553052"/>
      <w:bookmarkStart w:id="10" w:name="_Toc535554731"/>
      <w:bookmarkStart w:id="11" w:name="_Toc535554953"/>
      <w:bookmarkStart w:id="12" w:name="_Toc535554994"/>
      <w:r w:rsidRPr="00614496">
        <w:rPr>
          <w:color w:val="BFBFBF" w:themeColor="background1" w:themeShade="BF"/>
          <w:sz w:val="24"/>
        </w:rPr>
        <w:t>PARTNESHIPS: ACHIEVEMENT AND CHALLENGES</w:t>
      </w:r>
      <w:bookmarkEnd w:id="9"/>
      <w:bookmarkEnd w:id="10"/>
      <w:bookmarkEnd w:id="11"/>
      <w:bookmarkEnd w:id="12"/>
    </w:p>
    <w:p w14:paraId="11957C38" w14:textId="77777777" w:rsidR="006E40C8" w:rsidRPr="00614496" w:rsidRDefault="006E40C8" w:rsidP="006E40C8">
      <w:pPr>
        <w:pStyle w:val="Heading3"/>
        <w:rPr>
          <w:color w:val="BFBFBF" w:themeColor="background1" w:themeShade="BF"/>
        </w:rPr>
      </w:pPr>
      <w:bookmarkStart w:id="13" w:name="_Toc535553053"/>
      <w:bookmarkStart w:id="14" w:name="_Toc535554732"/>
      <w:bookmarkStart w:id="15" w:name="_Toc535554954"/>
      <w:bookmarkStart w:id="16" w:name="_Toc535554995"/>
      <w:r w:rsidRPr="00614496">
        <w:rPr>
          <w:color w:val="BFBFBF" w:themeColor="background1" w:themeShade="BF"/>
        </w:rPr>
        <w:t>Highlights of External Partnerships</w:t>
      </w:r>
      <w:bookmarkEnd w:id="13"/>
      <w:bookmarkEnd w:id="14"/>
      <w:bookmarkEnd w:id="15"/>
      <w:bookmarkEnd w:id="16"/>
      <w:r w:rsidRPr="00614496">
        <w:rPr>
          <w:color w:val="BFBFBF" w:themeColor="background1" w:themeShade="BF"/>
        </w:rPr>
        <w:t xml:space="preserve"> </w:t>
      </w:r>
    </w:p>
    <w:p w14:paraId="2ECB3C06" w14:textId="739899E8" w:rsidR="006E40C8" w:rsidRDefault="006E40C8" w:rsidP="006E40C8">
      <w:pPr>
        <w:jc w:val="both"/>
      </w:pPr>
      <w:r w:rsidRPr="000E33A5">
        <w:t>[Please summarize any i</w:t>
      </w:r>
      <w:r>
        <w:t xml:space="preserve">nteresting </w:t>
      </w:r>
      <w:r w:rsidRPr="000E33A5">
        <w:t>highlights, value added and points to improve/ learning points</w:t>
      </w:r>
      <w:r>
        <w:t xml:space="preserve"> </w:t>
      </w:r>
      <w:r w:rsidRPr="000E33A5">
        <w:t>from this year (e.g. on private sector partnerships), and make reference to</w:t>
      </w:r>
      <w:r>
        <w:t xml:space="preserve"> partnerships reported at the cluster level]</w:t>
      </w:r>
      <w:r w:rsidRPr="000E33A5">
        <w:t xml:space="preserve"> </w:t>
      </w:r>
      <w:r>
        <w:t>(max. 150 words)</w:t>
      </w:r>
    </w:p>
    <w:p w14:paraId="40554255" w14:textId="21DE83D5" w:rsidR="00D70BC3" w:rsidRDefault="00D70BC3" w:rsidP="006E40C8">
      <w:pPr>
        <w:jc w:val="both"/>
      </w:pPr>
    </w:p>
    <w:p w14:paraId="57301982" w14:textId="7D5116DD" w:rsidR="002E5ABD" w:rsidRPr="00CA0B6D" w:rsidRDefault="00214853" w:rsidP="009B32E2">
      <w:pPr>
        <w:pStyle w:val="NoSpacing"/>
        <w:numPr>
          <w:ilvl w:val="0"/>
          <w:numId w:val="8"/>
        </w:numPr>
        <w:rPr>
          <w:rFonts w:asciiTheme="majorHAnsi" w:hAnsiTheme="majorHAnsi" w:cstheme="majorHAnsi"/>
          <w:color w:val="000000" w:themeColor="text1"/>
          <w:sz w:val="24"/>
          <w:szCs w:val="24"/>
        </w:rPr>
      </w:pPr>
      <w:r w:rsidRPr="00CA0B6D">
        <w:rPr>
          <w:rFonts w:asciiTheme="majorHAnsi" w:hAnsiTheme="majorHAnsi" w:cstheme="majorHAnsi"/>
          <w:color w:val="000000" w:themeColor="text1"/>
          <w:sz w:val="24"/>
          <w:szCs w:val="24"/>
        </w:rPr>
        <w:t xml:space="preserve">Partnership with </w:t>
      </w:r>
      <w:r w:rsidR="002E5ABD" w:rsidRPr="00CA0B6D">
        <w:rPr>
          <w:rFonts w:asciiTheme="majorHAnsi" w:hAnsiTheme="majorHAnsi" w:cstheme="majorHAnsi"/>
          <w:color w:val="000000" w:themeColor="text1"/>
          <w:sz w:val="24"/>
          <w:szCs w:val="24"/>
        </w:rPr>
        <w:t>national agricultural research institutes in West Africa (INERA for Burkina Faso, ISRA for Senegal)</w:t>
      </w:r>
      <w:r w:rsidR="00B10AC8" w:rsidRPr="00CA0B6D">
        <w:rPr>
          <w:rFonts w:asciiTheme="majorHAnsi" w:hAnsiTheme="majorHAnsi" w:cstheme="majorHAnsi"/>
          <w:color w:val="000000" w:themeColor="text1"/>
          <w:sz w:val="24"/>
          <w:szCs w:val="24"/>
        </w:rPr>
        <w:t xml:space="preserve"> for </w:t>
      </w:r>
      <w:r w:rsidR="001F20ED" w:rsidRPr="00CA0B6D">
        <w:rPr>
          <w:rFonts w:asciiTheme="majorHAnsi" w:hAnsiTheme="majorHAnsi" w:cstheme="majorHAnsi"/>
          <w:color w:val="000000" w:themeColor="text1"/>
          <w:sz w:val="24"/>
          <w:szCs w:val="24"/>
        </w:rPr>
        <w:t xml:space="preserve">developing </w:t>
      </w:r>
      <w:r w:rsidR="00B10AC8" w:rsidRPr="00CA0B6D">
        <w:rPr>
          <w:rFonts w:asciiTheme="majorHAnsi" w:hAnsiTheme="majorHAnsi" w:cstheme="majorHAnsi"/>
          <w:color w:val="000000" w:themeColor="text1"/>
          <w:sz w:val="24"/>
          <w:szCs w:val="24"/>
        </w:rPr>
        <w:t>r</w:t>
      </w:r>
      <w:r w:rsidR="002E5ABD" w:rsidRPr="00CA0B6D">
        <w:rPr>
          <w:rFonts w:asciiTheme="majorHAnsi" w:hAnsiTheme="majorHAnsi" w:cstheme="majorHAnsi"/>
          <w:color w:val="000000" w:themeColor="text1"/>
          <w:sz w:val="24"/>
          <w:szCs w:val="24"/>
        </w:rPr>
        <w:t xml:space="preserve">esearch approaches </w:t>
      </w:r>
      <w:r w:rsidR="001F20ED" w:rsidRPr="00CA0B6D">
        <w:rPr>
          <w:rFonts w:asciiTheme="majorHAnsi" w:hAnsiTheme="majorHAnsi" w:cstheme="majorHAnsi"/>
          <w:color w:val="000000" w:themeColor="text1"/>
          <w:sz w:val="24"/>
          <w:szCs w:val="24"/>
        </w:rPr>
        <w:t xml:space="preserve">on </w:t>
      </w:r>
      <w:r w:rsidR="00E549E8" w:rsidRPr="00CA0B6D">
        <w:rPr>
          <w:rFonts w:asciiTheme="majorHAnsi" w:hAnsiTheme="majorHAnsi" w:cstheme="majorHAnsi"/>
          <w:color w:val="000000" w:themeColor="text1"/>
          <w:sz w:val="24"/>
          <w:szCs w:val="24"/>
        </w:rPr>
        <w:t xml:space="preserve">the </w:t>
      </w:r>
      <w:r w:rsidR="001F20ED" w:rsidRPr="00CA0B6D">
        <w:rPr>
          <w:rFonts w:asciiTheme="majorHAnsi" w:hAnsiTheme="majorHAnsi" w:cstheme="majorHAnsi"/>
          <w:color w:val="000000" w:themeColor="text1"/>
          <w:sz w:val="24"/>
          <w:szCs w:val="24"/>
        </w:rPr>
        <w:t>control of pests and diseases.</w:t>
      </w:r>
    </w:p>
    <w:p w14:paraId="09508556" w14:textId="430E1C3C" w:rsidR="00D70BC3" w:rsidRPr="00CA0B6D" w:rsidRDefault="00D70BC3" w:rsidP="00D70BC3">
      <w:pPr>
        <w:pStyle w:val="NoSpacing"/>
        <w:numPr>
          <w:ilvl w:val="0"/>
          <w:numId w:val="8"/>
        </w:numPr>
        <w:rPr>
          <w:rFonts w:asciiTheme="majorHAnsi" w:hAnsiTheme="majorHAnsi" w:cstheme="majorHAnsi"/>
          <w:color w:val="000000" w:themeColor="text1"/>
          <w:sz w:val="24"/>
          <w:szCs w:val="24"/>
        </w:rPr>
      </w:pPr>
      <w:r w:rsidRPr="00CA0B6D">
        <w:rPr>
          <w:rFonts w:asciiTheme="majorHAnsi" w:hAnsiTheme="majorHAnsi" w:cstheme="majorHAnsi"/>
          <w:color w:val="000000" w:themeColor="text1"/>
          <w:sz w:val="24"/>
          <w:szCs w:val="24"/>
        </w:rPr>
        <w:t xml:space="preserve">Collaborative work on </w:t>
      </w:r>
      <w:r w:rsidR="00D52852" w:rsidRPr="00CA0B6D">
        <w:rPr>
          <w:rFonts w:asciiTheme="majorHAnsi" w:hAnsiTheme="majorHAnsi" w:cstheme="majorHAnsi"/>
          <w:color w:val="000000" w:themeColor="text1"/>
          <w:sz w:val="24"/>
          <w:szCs w:val="24"/>
        </w:rPr>
        <w:t xml:space="preserve">the </w:t>
      </w:r>
      <w:r w:rsidRPr="00CA0B6D">
        <w:rPr>
          <w:rFonts w:asciiTheme="majorHAnsi" w:hAnsiTheme="majorHAnsi" w:cstheme="majorHAnsi"/>
          <w:color w:val="000000" w:themeColor="text1"/>
          <w:sz w:val="24"/>
          <w:szCs w:val="24"/>
        </w:rPr>
        <w:t>framework for sustainable intensification and sustainability assessment</w:t>
      </w:r>
      <w:r w:rsidR="00437701" w:rsidRPr="00CA0B6D">
        <w:rPr>
          <w:rFonts w:asciiTheme="majorHAnsi" w:hAnsiTheme="majorHAnsi" w:cstheme="majorHAnsi"/>
          <w:color w:val="000000" w:themeColor="text1"/>
          <w:sz w:val="24"/>
          <w:szCs w:val="24"/>
        </w:rPr>
        <w:t xml:space="preserve"> involving ICRISAT, ICARDA, Wageningen University, Swedish University of Agricultural Sciences</w:t>
      </w:r>
    </w:p>
    <w:p w14:paraId="3BF37D18" w14:textId="04A15DEC" w:rsidR="00D70BC3" w:rsidRPr="00CA0B6D" w:rsidRDefault="00BE233A" w:rsidP="00D70BC3">
      <w:pPr>
        <w:pStyle w:val="NoSpacing"/>
        <w:numPr>
          <w:ilvl w:val="0"/>
          <w:numId w:val="8"/>
        </w:numPr>
        <w:rPr>
          <w:rFonts w:asciiTheme="majorHAnsi" w:hAnsiTheme="majorHAnsi" w:cstheme="majorHAnsi"/>
          <w:color w:val="000000" w:themeColor="text1"/>
          <w:sz w:val="24"/>
          <w:szCs w:val="24"/>
        </w:rPr>
      </w:pPr>
      <w:r w:rsidRPr="00CA0B6D">
        <w:rPr>
          <w:rFonts w:asciiTheme="majorHAnsi" w:hAnsiTheme="majorHAnsi" w:cstheme="majorHAnsi"/>
          <w:color w:val="000000" w:themeColor="text1"/>
          <w:sz w:val="24"/>
          <w:szCs w:val="24"/>
        </w:rPr>
        <w:t xml:space="preserve">Joint </w:t>
      </w:r>
      <w:r w:rsidR="00CF0817" w:rsidRPr="00CA0B6D">
        <w:rPr>
          <w:rFonts w:asciiTheme="majorHAnsi" w:hAnsiTheme="majorHAnsi" w:cstheme="majorHAnsi"/>
          <w:color w:val="000000" w:themeColor="text1"/>
          <w:sz w:val="24"/>
          <w:szCs w:val="24"/>
        </w:rPr>
        <w:t>Commonwealth Scientific and Industrial Research Organization (CSIRO)</w:t>
      </w:r>
      <w:r w:rsidRPr="00CA0B6D">
        <w:rPr>
          <w:rFonts w:asciiTheme="majorHAnsi" w:hAnsiTheme="majorHAnsi" w:cstheme="majorHAnsi"/>
          <w:color w:val="000000" w:themeColor="text1"/>
          <w:sz w:val="24"/>
          <w:szCs w:val="24"/>
        </w:rPr>
        <w:t xml:space="preserve"> and ICRISAT Systems modelling and capacity building through workshops.</w:t>
      </w:r>
    </w:p>
    <w:p w14:paraId="6095448C" w14:textId="35CFFD9B" w:rsidR="00A108CB" w:rsidRPr="00CA0B6D" w:rsidRDefault="0032011D" w:rsidP="00D70BC3">
      <w:pPr>
        <w:pStyle w:val="NoSpacing"/>
        <w:numPr>
          <w:ilvl w:val="0"/>
          <w:numId w:val="8"/>
        </w:numPr>
        <w:rPr>
          <w:rFonts w:asciiTheme="majorHAnsi" w:hAnsiTheme="majorHAnsi" w:cstheme="majorHAnsi"/>
          <w:color w:val="000000" w:themeColor="text1"/>
          <w:sz w:val="24"/>
          <w:szCs w:val="24"/>
        </w:rPr>
      </w:pPr>
      <w:r w:rsidRPr="00CA0B6D">
        <w:rPr>
          <w:rFonts w:asciiTheme="majorHAnsi" w:hAnsiTheme="majorHAnsi" w:cstheme="majorHAnsi"/>
          <w:color w:val="000000" w:themeColor="text1"/>
          <w:sz w:val="24"/>
          <w:szCs w:val="24"/>
        </w:rPr>
        <w:t xml:space="preserve">Collaboration with </w:t>
      </w:r>
      <w:r w:rsidR="00E7299F" w:rsidRPr="00CA0B6D">
        <w:rPr>
          <w:rFonts w:asciiTheme="majorHAnsi" w:hAnsiTheme="majorHAnsi" w:cstheme="majorHAnsi"/>
          <w:color w:val="000000" w:themeColor="text1"/>
          <w:sz w:val="24"/>
          <w:szCs w:val="24"/>
        </w:rPr>
        <w:t>n</w:t>
      </w:r>
      <w:r w:rsidR="00D70BC3" w:rsidRPr="00CA0B6D">
        <w:rPr>
          <w:rFonts w:asciiTheme="majorHAnsi" w:hAnsiTheme="majorHAnsi" w:cstheme="majorHAnsi"/>
          <w:color w:val="000000" w:themeColor="text1"/>
          <w:sz w:val="24"/>
          <w:szCs w:val="24"/>
        </w:rPr>
        <w:t>ational agricultural research institutes (NARS) in Burkina Faso (INERA), Mali (IER), Niger (INRAN), India (ICAR), Tunisia, Syria and Sudan</w:t>
      </w:r>
      <w:r w:rsidR="00E7299F" w:rsidRPr="00CA0B6D">
        <w:rPr>
          <w:rFonts w:asciiTheme="majorHAnsi" w:hAnsiTheme="majorHAnsi" w:cstheme="majorHAnsi"/>
          <w:color w:val="000000" w:themeColor="text1"/>
          <w:sz w:val="24"/>
          <w:szCs w:val="24"/>
        </w:rPr>
        <w:t xml:space="preserve"> </w:t>
      </w:r>
      <w:r w:rsidR="00D50BC1" w:rsidRPr="00CA0B6D">
        <w:rPr>
          <w:rFonts w:asciiTheme="majorHAnsi" w:hAnsiTheme="majorHAnsi" w:cstheme="majorHAnsi"/>
          <w:color w:val="000000" w:themeColor="text1"/>
          <w:sz w:val="24"/>
          <w:szCs w:val="24"/>
        </w:rPr>
        <w:t>to</w:t>
      </w:r>
      <w:r w:rsidR="00E7299F" w:rsidRPr="00CA0B6D">
        <w:rPr>
          <w:rFonts w:asciiTheme="majorHAnsi" w:hAnsiTheme="majorHAnsi" w:cstheme="majorHAnsi"/>
          <w:color w:val="000000" w:themeColor="text1"/>
          <w:sz w:val="24"/>
          <w:szCs w:val="24"/>
        </w:rPr>
        <w:t xml:space="preserve"> c</w:t>
      </w:r>
      <w:r w:rsidR="00D70BC3" w:rsidRPr="00CA0B6D">
        <w:rPr>
          <w:rFonts w:asciiTheme="majorHAnsi" w:hAnsiTheme="majorHAnsi" w:cstheme="majorHAnsi"/>
          <w:color w:val="000000" w:themeColor="text1"/>
          <w:sz w:val="24"/>
          <w:szCs w:val="24"/>
        </w:rPr>
        <w:t>ontextualiz</w:t>
      </w:r>
      <w:r w:rsidR="00D50BC1" w:rsidRPr="00CA0B6D">
        <w:rPr>
          <w:rFonts w:asciiTheme="majorHAnsi" w:hAnsiTheme="majorHAnsi" w:cstheme="majorHAnsi"/>
          <w:color w:val="000000" w:themeColor="text1"/>
          <w:sz w:val="24"/>
          <w:szCs w:val="24"/>
        </w:rPr>
        <w:t>e</w:t>
      </w:r>
      <w:r w:rsidR="00D70BC3" w:rsidRPr="00CA0B6D">
        <w:rPr>
          <w:rFonts w:asciiTheme="majorHAnsi" w:hAnsiTheme="majorHAnsi" w:cstheme="majorHAnsi"/>
          <w:color w:val="000000" w:themeColor="text1"/>
          <w:sz w:val="24"/>
          <w:szCs w:val="24"/>
        </w:rPr>
        <w:t xml:space="preserve"> research, capacit</w:t>
      </w:r>
      <w:r w:rsidR="00A072BC">
        <w:rPr>
          <w:rFonts w:asciiTheme="majorHAnsi" w:hAnsiTheme="majorHAnsi" w:cstheme="majorHAnsi"/>
          <w:color w:val="000000" w:themeColor="text1"/>
          <w:sz w:val="24"/>
          <w:szCs w:val="24"/>
        </w:rPr>
        <w:t>ate sta</w:t>
      </w:r>
      <w:r w:rsidR="004D0226">
        <w:rPr>
          <w:rFonts w:asciiTheme="majorHAnsi" w:hAnsiTheme="majorHAnsi" w:cstheme="majorHAnsi"/>
          <w:color w:val="000000" w:themeColor="text1"/>
          <w:sz w:val="24"/>
          <w:szCs w:val="24"/>
        </w:rPr>
        <w:t>keholders</w:t>
      </w:r>
      <w:r w:rsidR="00D70BC3" w:rsidRPr="00CA0B6D">
        <w:rPr>
          <w:rFonts w:asciiTheme="majorHAnsi" w:hAnsiTheme="majorHAnsi" w:cstheme="majorHAnsi"/>
          <w:color w:val="000000" w:themeColor="text1"/>
          <w:sz w:val="24"/>
          <w:szCs w:val="24"/>
        </w:rPr>
        <w:t xml:space="preserve">, </w:t>
      </w:r>
      <w:r w:rsidR="003D47E3">
        <w:rPr>
          <w:rFonts w:asciiTheme="majorHAnsi" w:hAnsiTheme="majorHAnsi" w:cstheme="majorHAnsi"/>
          <w:color w:val="000000" w:themeColor="text1"/>
          <w:sz w:val="24"/>
          <w:szCs w:val="24"/>
        </w:rPr>
        <w:t>par</w:t>
      </w:r>
      <w:r w:rsidR="00E4518A">
        <w:rPr>
          <w:rFonts w:asciiTheme="majorHAnsi" w:hAnsiTheme="majorHAnsi" w:cstheme="majorHAnsi"/>
          <w:color w:val="000000" w:themeColor="text1"/>
          <w:sz w:val="24"/>
          <w:szCs w:val="24"/>
        </w:rPr>
        <w:t xml:space="preserve">tner </w:t>
      </w:r>
      <w:r w:rsidR="00D70BC3" w:rsidRPr="00CA0B6D">
        <w:rPr>
          <w:rFonts w:asciiTheme="majorHAnsi" w:hAnsiTheme="majorHAnsi" w:cstheme="majorHAnsi"/>
          <w:color w:val="000000" w:themeColor="text1"/>
          <w:sz w:val="24"/>
          <w:szCs w:val="24"/>
        </w:rPr>
        <w:t>with farmer communities</w:t>
      </w:r>
      <w:r w:rsidR="00A108CB" w:rsidRPr="00CA0B6D">
        <w:rPr>
          <w:rFonts w:asciiTheme="majorHAnsi" w:hAnsiTheme="majorHAnsi" w:cstheme="majorHAnsi"/>
          <w:color w:val="000000" w:themeColor="text1"/>
          <w:sz w:val="24"/>
          <w:szCs w:val="24"/>
        </w:rPr>
        <w:t>.</w:t>
      </w:r>
    </w:p>
    <w:p w14:paraId="5B110CAB" w14:textId="1D36156E" w:rsidR="00A108CB" w:rsidRPr="004C1C95" w:rsidRDefault="00A108CB" w:rsidP="009B32E2">
      <w:pPr>
        <w:pStyle w:val="NoSpacing"/>
        <w:numPr>
          <w:ilvl w:val="0"/>
          <w:numId w:val="8"/>
        </w:numPr>
        <w:rPr>
          <w:rFonts w:eastAsia="Calibri"/>
          <w:color w:val="000000" w:themeColor="text1"/>
        </w:rPr>
      </w:pPr>
      <w:r w:rsidRPr="00CA0B6D">
        <w:rPr>
          <w:rFonts w:asciiTheme="majorHAnsi" w:eastAsia="Calibri" w:hAnsiTheme="majorHAnsi" w:cstheme="majorHAnsi"/>
          <w:color w:val="000000" w:themeColor="text1"/>
          <w:sz w:val="24"/>
          <w:szCs w:val="24"/>
        </w:rPr>
        <w:t xml:space="preserve">GLDC helped leverage bilateral project funding (ESA- MSU and Africa Rising; WCA - ATSAP and TAAT; SA – ICAR, SDC, </w:t>
      </w:r>
      <w:proofErr w:type="spellStart"/>
      <w:r w:rsidRPr="00CA0B6D">
        <w:rPr>
          <w:rFonts w:asciiTheme="majorHAnsi" w:eastAsia="Calibri" w:hAnsiTheme="majorHAnsi" w:cstheme="majorHAnsi"/>
          <w:color w:val="000000" w:themeColor="text1"/>
          <w:sz w:val="24"/>
          <w:szCs w:val="24"/>
        </w:rPr>
        <w:t>Mahalanobis</w:t>
      </w:r>
      <w:proofErr w:type="spellEnd"/>
      <w:r w:rsidRPr="00CA0B6D">
        <w:rPr>
          <w:rFonts w:asciiTheme="majorHAnsi" w:eastAsia="Calibri" w:hAnsiTheme="majorHAnsi" w:cstheme="majorHAnsi"/>
          <w:color w:val="000000" w:themeColor="text1"/>
          <w:sz w:val="24"/>
          <w:szCs w:val="24"/>
        </w:rPr>
        <w:t xml:space="preserve"> National Crop Forecast Centre (MNCFC), India) and the communities of practice (AGMIP, Big Data for Agriculture</w:t>
      </w:r>
      <w:r w:rsidR="00F321DA">
        <w:rPr>
          <w:rFonts w:asciiTheme="majorHAnsi" w:eastAsia="Calibri" w:hAnsiTheme="majorHAnsi" w:cstheme="majorHAnsi"/>
          <w:color w:val="000000" w:themeColor="text1"/>
          <w:sz w:val="24"/>
          <w:szCs w:val="24"/>
        </w:rPr>
        <w:t xml:space="preserve"> Intensification</w:t>
      </w:r>
      <w:r w:rsidRPr="00CA0B6D">
        <w:rPr>
          <w:rFonts w:asciiTheme="majorHAnsi" w:eastAsia="Calibri" w:hAnsiTheme="majorHAnsi" w:cstheme="majorHAnsi"/>
          <w:color w:val="000000" w:themeColor="text1"/>
          <w:sz w:val="24"/>
          <w:szCs w:val="24"/>
        </w:rPr>
        <w:t>)</w:t>
      </w:r>
      <w:r w:rsidR="006741A0" w:rsidRPr="00CA0B6D">
        <w:rPr>
          <w:rFonts w:asciiTheme="majorHAnsi" w:eastAsia="Calibri" w:hAnsiTheme="majorHAnsi" w:cstheme="majorHAnsi"/>
          <w:color w:val="000000" w:themeColor="text1"/>
          <w:sz w:val="24"/>
          <w:szCs w:val="24"/>
        </w:rPr>
        <w:t xml:space="preserve">. This </w:t>
      </w:r>
      <w:r w:rsidR="00271A75" w:rsidRPr="00CA0B6D">
        <w:rPr>
          <w:rFonts w:asciiTheme="majorHAnsi" w:eastAsia="Calibri" w:hAnsiTheme="majorHAnsi" w:cstheme="majorHAnsi"/>
          <w:color w:val="000000" w:themeColor="text1"/>
          <w:sz w:val="24"/>
          <w:szCs w:val="24"/>
        </w:rPr>
        <w:t xml:space="preserve">was </w:t>
      </w:r>
      <w:r w:rsidR="006741A0" w:rsidRPr="00CA0B6D">
        <w:rPr>
          <w:rFonts w:asciiTheme="majorHAnsi" w:eastAsia="Calibri" w:hAnsiTheme="majorHAnsi" w:cstheme="majorHAnsi"/>
          <w:color w:val="000000" w:themeColor="text1"/>
          <w:sz w:val="24"/>
          <w:szCs w:val="24"/>
        </w:rPr>
        <w:t xml:space="preserve">done through </w:t>
      </w:r>
      <w:r w:rsidRPr="00CA0B6D">
        <w:rPr>
          <w:rFonts w:asciiTheme="majorHAnsi" w:eastAsia="Calibri" w:hAnsiTheme="majorHAnsi" w:cstheme="majorHAnsi"/>
          <w:color w:val="000000" w:themeColor="text1"/>
          <w:sz w:val="24"/>
          <w:szCs w:val="24"/>
        </w:rPr>
        <w:t>crop-soil-climate models to integrate data with spatial and temporal variation</w:t>
      </w:r>
      <w:r w:rsidRPr="00CA0B6D">
        <w:rPr>
          <w:rFonts w:asciiTheme="majorHAnsi" w:hAnsiTheme="majorHAnsi" w:cstheme="majorHAnsi"/>
          <w:color w:val="000000" w:themeColor="text1"/>
          <w:sz w:val="24"/>
          <w:szCs w:val="24"/>
        </w:rPr>
        <w:t>.</w:t>
      </w:r>
    </w:p>
    <w:p w14:paraId="3EE0D695" w14:textId="1701BCB2" w:rsidR="004C1C95" w:rsidRPr="007B7333" w:rsidRDefault="004C1C95" w:rsidP="009B32E2">
      <w:pPr>
        <w:pStyle w:val="NoSpacing"/>
        <w:numPr>
          <w:ilvl w:val="0"/>
          <w:numId w:val="8"/>
        </w:numPr>
        <w:rPr>
          <w:rFonts w:asciiTheme="majorHAnsi" w:eastAsia="Calibri" w:hAnsiTheme="majorHAnsi" w:cstheme="majorHAnsi"/>
          <w:color w:val="000000" w:themeColor="text1"/>
          <w:sz w:val="24"/>
          <w:szCs w:val="24"/>
        </w:rPr>
      </w:pPr>
      <w:r w:rsidRPr="007B7333">
        <w:rPr>
          <w:rFonts w:asciiTheme="majorHAnsi" w:eastAsia="Calibri" w:hAnsiTheme="majorHAnsi" w:cstheme="majorHAnsi"/>
          <w:color w:val="000000" w:themeColor="text1"/>
          <w:sz w:val="24"/>
          <w:szCs w:val="24"/>
        </w:rPr>
        <w:t xml:space="preserve">GLDC-PIM </w:t>
      </w:r>
      <w:r w:rsidR="007B7333" w:rsidRPr="007B7333">
        <w:rPr>
          <w:rFonts w:asciiTheme="majorHAnsi" w:eastAsia="Calibri" w:hAnsiTheme="majorHAnsi" w:cstheme="majorHAnsi"/>
          <w:color w:val="000000" w:themeColor="text1"/>
          <w:sz w:val="24"/>
          <w:szCs w:val="24"/>
        </w:rPr>
        <w:t>whole modelling work</w:t>
      </w:r>
      <w:r w:rsidR="007B7333">
        <w:rPr>
          <w:rFonts w:asciiTheme="majorHAnsi" w:eastAsia="Calibri" w:hAnsiTheme="majorHAnsi" w:cstheme="majorHAnsi"/>
          <w:color w:val="000000" w:themeColor="text1"/>
          <w:sz w:val="24"/>
          <w:szCs w:val="24"/>
        </w:rPr>
        <w:t xml:space="preserve"> jointly conducted by ICRISAT and ILRI</w:t>
      </w:r>
    </w:p>
    <w:p w14:paraId="625F6D97" w14:textId="77777777" w:rsidR="0073033D" w:rsidRDefault="0073033D" w:rsidP="006E40C8">
      <w:pPr>
        <w:jc w:val="both"/>
      </w:pPr>
    </w:p>
    <w:p w14:paraId="45CA7730" w14:textId="77777777" w:rsidR="006E40C8" w:rsidRPr="00614496" w:rsidRDefault="006E40C8" w:rsidP="006E40C8">
      <w:pPr>
        <w:pStyle w:val="Heading3"/>
        <w:rPr>
          <w:color w:val="BFBFBF" w:themeColor="background1" w:themeShade="BF"/>
        </w:rPr>
      </w:pPr>
      <w:r w:rsidRPr="00413F1B">
        <w:rPr>
          <w:color w:val="BFBFBF" w:themeColor="background1" w:themeShade="BF"/>
        </w:rPr>
        <w:t>Cross-CGIAR Partnerships</w:t>
      </w:r>
      <w:r w:rsidRPr="00614496">
        <w:rPr>
          <w:color w:val="BFBFBF" w:themeColor="background1" w:themeShade="BF"/>
        </w:rPr>
        <w:t xml:space="preserve"> </w:t>
      </w:r>
    </w:p>
    <w:p w14:paraId="193CA9E3" w14:textId="77777777" w:rsidR="006E40C8" w:rsidRDefault="006E40C8" w:rsidP="006E40C8">
      <w:pPr>
        <w:jc w:val="both"/>
      </w:pPr>
      <w:r w:rsidRPr="000E33A5">
        <w:t xml:space="preserve">[Please summarize general points on highlights, value added and points to improve/ learning points from this year and </w:t>
      </w:r>
      <w:r>
        <w:t>make reference to collaborations reported at the cluster level</w:t>
      </w:r>
      <w:r w:rsidRPr="000E33A5">
        <w:t>.] Any points you can include on added value of new structures (e.g. Platforms, CRPs) would be very useful.]</w:t>
      </w:r>
      <w:r w:rsidRPr="00D25362">
        <w:t xml:space="preserve"> </w:t>
      </w:r>
      <w:r>
        <w:t>(max. 150 words)</w:t>
      </w:r>
    </w:p>
    <w:p w14:paraId="034B5172" w14:textId="7A342DC1" w:rsidR="00722111" w:rsidRDefault="003146BB" w:rsidP="006E40C8">
      <w:pPr>
        <w:jc w:val="both"/>
        <w:sectPr w:rsidR="00722111" w:rsidSect="00967AF7">
          <w:footerReference w:type="default" r:id="rId7"/>
          <w:pgSz w:w="12240" w:h="15840" w:code="1"/>
          <w:pgMar w:top="1411" w:right="1699" w:bottom="1411" w:left="1699" w:header="720" w:footer="720" w:gutter="0"/>
          <w:cols w:space="720"/>
          <w:titlePg/>
          <w:docGrid w:linePitch="360"/>
        </w:sectPr>
      </w:pPr>
      <w:r>
        <w:rPr>
          <w:rFonts w:asciiTheme="majorHAnsi" w:hAnsiTheme="majorHAnsi" w:cstheme="majorHAnsi"/>
        </w:rPr>
        <w:t>GLDC-PIM for whole farm modelling work in West Africa</w:t>
      </w:r>
      <w:r w:rsidR="000B5018">
        <w:rPr>
          <w:rFonts w:asciiTheme="majorHAnsi" w:hAnsiTheme="majorHAnsi" w:cstheme="majorHAnsi"/>
        </w:rPr>
        <w:t xml:space="preserve"> using </w:t>
      </w:r>
      <w:r w:rsidR="007B7333" w:rsidRPr="00A66122">
        <w:rPr>
          <w:rFonts w:asciiTheme="majorHAnsi" w:hAnsiTheme="majorHAnsi" w:cstheme="majorHAnsi"/>
          <w:color w:val="000000" w:themeColor="text1"/>
        </w:rPr>
        <w:t xml:space="preserve">scenarios </w:t>
      </w:r>
      <w:r w:rsidR="00734CC0">
        <w:rPr>
          <w:rFonts w:asciiTheme="majorHAnsi" w:hAnsiTheme="majorHAnsi" w:cstheme="majorHAnsi"/>
          <w:color w:val="000000" w:themeColor="text1"/>
        </w:rPr>
        <w:t>of</w:t>
      </w:r>
      <w:r w:rsidR="007B7333" w:rsidRPr="00A66122">
        <w:rPr>
          <w:rFonts w:asciiTheme="majorHAnsi" w:hAnsiTheme="majorHAnsi" w:cstheme="majorHAnsi"/>
          <w:color w:val="000000" w:themeColor="text1"/>
        </w:rPr>
        <w:t xml:space="preserve"> access </w:t>
      </w:r>
      <w:r w:rsidR="007B7333">
        <w:rPr>
          <w:rFonts w:asciiTheme="majorHAnsi" w:hAnsiTheme="majorHAnsi" w:cstheme="majorHAnsi"/>
          <w:color w:val="000000" w:themeColor="text1"/>
        </w:rPr>
        <w:t xml:space="preserve">to </w:t>
      </w:r>
      <w:r w:rsidR="007B7333" w:rsidRPr="00A66122">
        <w:rPr>
          <w:rFonts w:asciiTheme="majorHAnsi" w:hAnsiTheme="majorHAnsi" w:cstheme="majorHAnsi"/>
          <w:color w:val="000000" w:themeColor="text1"/>
        </w:rPr>
        <w:t>quality of feed/ fodder</w:t>
      </w:r>
      <w:r w:rsidR="00C768C0">
        <w:rPr>
          <w:rFonts w:asciiTheme="majorHAnsi" w:hAnsiTheme="majorHAnsi" w:cstheme="majorHAnsi"/>
          <w:color w:val="000000" w:themeColor="text1"/>
        </w:rPr>
        <w:t xml:space="preserve"> to project </w:t>
      </w:r>
      <w:r w:rsidR="00207B17">
        <w:rPr>
          <w:rFonts w:asciiTheme="majorHAnsi" w:hAnsiTheme="majorHAnsi" w:cstheme="majorHAnsi"/>
          <w:color w:val="000000" w:themeColor="text1"/>
        </w:rPr>
        <w:t>livestock</w:t>
      </w:r>
      <w:r w:rsidR="007B7333" w:rsidRPr="00A66122">
        <w:rPr>
          <w:rFonts w:asciiTheme="majorHAnsi" w:hAnsiTheme="majorHAnsi" w:cstheme="majorHAnsi"/>
          <w:color w:val="000000" w:themeColor="text1"/>
        </w:rPr>
        <w:t xml:space="preserve"> </w:t>
      </w:r>
      <w:r w:rsidR="007B7333">
        <w:rPr>
          <w:rFonts w:asciiTheme="majorHAnsi" w:hAnsiTheme="majorHAnsi" w:cstheme="majorHAnsi"/>
          <w:color w:val="000000" w:themeColor="text1"/>
        </w:rPr>
        <w:t>performance</w:t>
      </w:r>
      <w:r w:rsidR="007B7333" w:rsidRPr="00A66122">
        <w:rPr>
          <w:rFonts w:asciiTheme="majorHAnsi" w:hAnsiTheme="majorHAnsi" w:cstheme="majorHAnsi"/>
          <w:color w:val="000000" w:themeColor="text1"/>
        </w:rPr>
        <w:t xml:space="preserve">, market value and </w:t>
      </w:r>
      <w:r w:rsidR="00071A32">
        <w:rPr>
          <w:rFonts w:asciiTheme="majorHAnsi" w:hAnsiTheme="majorHAnsi" w:cstheme="majorHAnsi"/>
          <w:color w:val="000000" w:themeColor="text1"/>
        </w:rPr>
        <w:t xml:space="preserve">potential </w:t>
      </w:r>
      <w:r w:rsidR="007B7333" w:rsidRPr="00A66122">
        <w:rPr>
          <w:rFonts w:asciiTheme="majorHAnsi" w:hAnsiTheme="majorHAnsi" w:cstheme="majorHAnsi"/>
          <w:color w:val="000000" w:themeColor="text1"/>
        </w:rPr>
        <w:t xml:space="preserve">income </w:t>
      </w:r>
      <w:r w:rsidR="00071A32">
        <w:rPr>
          <w:rFonts w:asciiTheme="majorHAnsi" w:hAnsiTheme="majorHAnsi" w:cstheme="majorHAnsi"/>
          <w:color w:val="000000" w:themeColor="text1"/>
        </w:rPr>
        <w:t>for the farmer</w:t>
      </w:r>
      <w:r w:rsidR="00EC3B1D">
        <w:rPr>
          <w:rFonts w:asciiTheme="majorHAnsi" w:hAnsiTheme="majorHAnsi" w:cstheme="majorHAnsi"/>
          <w:color w:val="000000" w:themeColor="text1"/>
        </w:rPr>
        <w:t xml:space="preserve">. The quality feed </w:t>
      </w:r>
      <w:r w:rsidR="00F577C7">
        <w:rPr>
          <w:rFonts w:asciiTheme="majorHAnsi" w:hAnsiTheme="majorHAnsi" w:cstheme="majorHAnsi"/>
          <w:color w:val="000000" w:themeColor="text1"/>
        </w:rPr>
        <w:t xml:space="preserve">is expected to come </w:t>
      </w:r>
      <w:r w:rsidR="00FE11BB">
        <w:rPr>
          <w:rFonts w:asciiTheme="majorHAnsi" w:hAnsiTheme="majorHAnsi" w:cstheme="majorHAnsi"/>
          <w:color w:val="000000" w:themeColor="text1"/>
        </w:rPr>
        <w:t xml:space="preserve">from </w:t>
      </w:r>
      <w:r w:rsidR="00F577C7">
        <w:rPr>
          <w:rFonts w:asciiTheme="majorHAnsi" w:hAnsiTheme="majorHAnsi" w:cstheme="majorHAnsi"/>
          <w:color w:val="000000" w:themeColor="text1"/>
        </w:rPr>
        <w:t>GLDC work either as crop residues or cultivated</w:t>
      </w:r>
      <w:r w:rsidR="004D403E">
        <w:rPr>
          <w:rFonts w:asciiTheme="majorHAnsi" w:hAnsiTheme="majorHAnsi" w:cstheme="majorHAnsi"/>
          <w:color w:val="000000" w:themeColor="text1"/>
        </w:rPr>
        <w:t xml:space="preserve"> fo</w:t>
      </w:r>
      <w:r w:rsidR="00FE11BB">
        <w:rPr>
          <w:rFonts w:asciiTheme="majorHAnsi" w:hAnsiTheme="majorHAnsi" w:cstheme="majorHAnsi"/>
          <w:color w:val="000000" w:themeColor="text1"/>
        </w:rPr>
        <w:t>dder</w:t>
      </w:r>
      <w:r w:rsidR="004D403E">
        <w:rPr>
          <w:rFonts w:asciiTheme="majorHAnsi" w:hAnsiTheme="majorHAnsi" w:cstheme="majorHAnsi"/>
          <w:color w:val="000000" w:themeColor="text1"/>
        </w:rPr>
        <w:t>.</w:t>
      </w:r>
    </w:p>
    <w:p w14:paraId="7B803031" w14:textId="6A210AEA" w:rsidR="006E40C8" w:rsidRDefault="006E40C8" w:rsidP="006E40C8">
      <w:pPr>
        <w:pStyle w:val="Heading1"/>
        <w:rPr>
          <w:color w:val="BFBFBF" w:themeColor="background1" w:themeShade="BF"/>
          <w:sz w:val="24"/>
        </w:rPr>
      </w:pPr>
      <w:bookmarkStart w:id="17" w:name="_Toc535553054"/>
      <w:bookmarkStart w:id="18" w:name="_Toc535554733"/>
      <w:bookmarkStart w:id="19" w:name="_Toc535554955"/>
      <w:bookmarkStart w:id="20" w:name="_Toc535554996"/>
      <w:r w:rsidRPr="002D293F">
        <w:rPr>
          <w:color w:val="BFBFBF" w:themeColor="background1" w:themeShade="BF"/>
          <w:sz w:val="24"/>
        </w:rPr>
        <w:lastRenderedPageBreak/>
        <w:t xml:space="preserve">Table 1: </w:t>
      </w:r>
      <w:r w:rsidRPr="00614496">
        <w:rPr>
          <w:color w:val="BFBFBF" w:themeColor="background1" w:themeShade="BF"/>
          <w:sz w:val="24"/>
        </w:rPr>
        <w:t>MILESTONEs TABLE 201</w:t>
      </w:r>
      <w:bookmarkEnd w:id="17"/>
      <w:bookmarkEnd w:id="18"/>
      <w:bookmarkEnd w:id="19"/>
      <w:bookmarkEnd w:id="20"/>
      <w:r w:rsidR="00B92662">
        <w:rPr>
          <w:color w:val="BFBFBF" w:themeColor="background1" w:themeShade="BF"/>
          <w:sz w:val="24"/>
        </w:rPr>
        <w:t>9</w:t>
      </w:r>
    </w:p>
    <w:p w14:paraId="02B6CEB7" w14:textId="77777777" w:rsidR="00A3515A" w:rsidRDefault="00A3515A" w:rsidP="00A3515A">
      <w:r>
        <w:t>Table 5: Summary of status of Planned Outcomes and Milestones (Sphere of Influence-Control)</w:t>
      </w:r>
    </w:p>
    <w:p w14:paraId="3A24F1C3" w14:textId="77777777" w:rsidR="00A3515A" w:rsidRDefault="00A3515A" w:rsidP="00A3515A">
      <w:r>
        <w:t>Please complete the table below and report the supporting evidence required through MIS – see Evidence C:  Outcomes and milestones</w:t>
      </w:r>
    </w:p>
    <w:p w14:paraId="7FC5C754" w14:textId="478A90C2" w:rsidR="006E40C8" w:rsidRPr="00614496" w:rsidRDefault="00A3515A" w:rsidP="00A3515A">
      <w:r>
        <w:t>Use outcomes from 2016 proposal (or latest version) and milestones from 2019 POWB.]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91"/>
        <w:gridCol w:w="1232"/>
        <w:gridCol w:w="1206"/>
        <w:gridCol w:w="1044"/>
        <w:gridCol w:w="1410"/>
        <w:gridCol w:w="1060"/>
        <w:gridCol w:w="1542"/>
        <w:gridCol w:w="5565"/>
      </w:tblGrid>
      <w:tr w:rsidR="00A3515A" w:rsidRPr="009F63C7" w14:paraId="6BFB7ACE" w14:textId="77777777" w:rsidTr="00703DB8">
        <w:trPr>
          <w:trHeight w:val="500"/>
        </w:trPr>
        <w:tc>
          <w:tcPr>
            <w:tcW w:w="319" w:type="pct"/>
            <w:tcMar>
              <w:top w:w="100" w:type="dxa"/>
              <w:left w:w="100" w:type="dxa"/>
              <w:bottom w:w="100" w:type="dxa"/>
              <w:right w:w="100" w:type="dxa"/>
            </w:tcMar>
          </w:tcPr>
          <w:p w14:paraId="15BE5317" w14:textId="77777777" w:rsidR="00A3515A" w:rsidRPr="009F63C7" w:rsidRDefault="00A3515A" w:rsidP="0070227C">
            <w:pPr>
              <w:ind w:right="100"/>
              <w:rPr>
                <w:rFonts w:asciiTheme="majorHAnsi" w:hAnsiTheme="majorHAnsi" w:cstheme="majorHAnsi"/>
              </w:rPr>
            </w:pPr>
            <w:r w:rsidRPr="009F63C7">
              <w:rPr>
                <w:rFonts w:asciiTheme="majorHAnsi" w:hAnsiTheme="majorHAnsi" w:cstheme="majorHAnsi"/>
              </w:rPr>
              <w:t>Col. 1</w:t>
            </w:r>
          </w:p>
        </w:tc>
        <w:tc>
          <w:tcPr>
            <w:tcW w:w="441" w:type="pct"/>
            <w:tcMar>
              <w:top w:w="100" w:type="dxa"/>
              <w:left w:w="100" w:type="dxa"/>
              <w:bottom w:w="100" w:type="dxa"/>
              <w:right w:w="100" w:type="dxa"/>
            </w:tcMar>
          </w:tcPr>
          <w:p w14:paraId="4186579F" w14:textId="77777777" w:rsidR="00A3515A" w:rsidRPr="009F63C7" w:rsidRDefault="00A3515A" w:rsidP="0070227C">
            <w:pPr>
              <w:ind w:right="-30"/>
              <w:rPr>
                <w:rFonts w:asciiTheme="majorHAnsi" w:hAnsiTheme="majorHAnsi" w:cstheme="majorHAnsi"/>
              </w:rPr>
            </w:pPr>
            <w:r w:rsidRPr="009F63C7">
              <w:rPr>
                <w:rFonts w:asciiTheme="majorHAnsi" w:hAnsiTheme="majorHAnsi" w:cstheme="majorHAnsi"/>
              </w:rPr>
              <w:t>Col. 2</w:t>
            </w:r>
          </w:p>
        </w:tc>
        <w:tc>
          <w:tcPr>
            <w:tcW w:w="432" w:type="pct"/>
          </w:tcPr>
          <w:p w14:paraId="59DC466D" w14:textId="77777777" w:rsidR="00A3515A" w:rsidRPr="00CD73D3" w:rsidRDefault="00A3515A" w:rsidP="0070227C">
            <w:pPr>
              <w:ind w:right="100"/>
              <w:rPr>
                <w:rFonts w:asciiTheme="majorHAnsi" w:hAnsiTheme="majorHAnsi" w:cstheme="majorHAnsi"/>
                <w:highlight w:val="green"/>
              </w:rPr>
            </w:pPr>
            <w:r w:rsidRPr="00CD73D3">
              <w:rPr>
                <w:rFonts w:asciiTheme="majorHAnsi" w:hAnsiTheme="majorHAnsi" w:cstheme="majorHAnsi"/>
                <w:highlight w:val="green"/>
              </w:rPr>
              <w:t>col. 2a</w:t>
            </w:r>
          </w:p>
        </w:tc>
        <w:tc>
          <w:tcPr>
            <w:tcW w:w="373" w:type="pct"/>
            <w:tcMar>
              <w:top w:w="100" w:type="dxa"/>
              <w:left w:w="100" w:type="dxa"/>
              <w:bottom w:w="100" w:type="dxa"/>
              <w:right w:w="100" w:type="dxa"/>
            </w:tcMar>
          </w:tcPr>
          <w:p w14:paraId="7286B15D" w14:textId="77777777" w:rsidR="00A3515A" w:rsidRPr="009F63C7" w:rsidRDefault="00A3515A" w:rsidP="0070227C">
            <w:pPr>
              <w:ind w:right="100"/>
              <w:rPr>
                <w:rFonts w:asciiTheme="majorHAnsi" w:hAnsiTheme="majorHAnsi" w:cstheme="majorHAnsi"/>
              </w:rPr>
            </w:pPr>
            <w:r w:rsidRPr="009F63C7">
              <w:rPr>
                <w:rFonts w:asciiTheme="majorHAnsi" w:hAnsiTheme="majorHAnsi" w:cstheme="majorHAnsi"/>
              </w:rPr>
              <w:t>Column 3</w:t>
            </w:r>
          </w:p>
        </w:tc>
        <w:tc>
          <w:tcPr>
            <w:tcW w:w="505" w:type="pct"/>
            <w:tcMar>
              <w:top w:w="100" w:type="dxa"/>
              <w:left w:w="100" w:type="dxa"/>
              <w:bottom w:w="100" w:type="dxa"/>
              <w:right w:w="100" w:type="dxa"/>
            </w:tcMar>
          </w:tcPr>
          <w:p w14:paraId="344F40F6" w14:textId="77777777" w:rsidR="00A3515A" w:rsidRPr="009F63C7" w:rsidRDefault="00A3515A" w:rsidP="0070227C">
            <w:pPr>
              <w:ind w:right="100"/>
              <w:rPr>
                <w:rFonts w:asciiTheme="majorHAnsi" w:hAnsiTheme="majorHAnsi" w:cstheme="majorHAnsi"/>
              </w:rPr>
            </w:pPr>
            <w:r w:rsidRPr="009F63C7">
              <w:rPr>
                <w:rFonts w:asciiTheme="majorHAnsi" w:hAnsiTheme="majorHAnsi" w:cstheme="majorHAnsi"/>
              </w:rPr>
              <w:t>Column 4</w:t>
            </w:r>
          </w:p>
        </w:tc>
        <w:tc>
          <w:tcPr>
            <w:tcW w:w="379" w:type="pct"/>
            <w:tcMar>
              <w:top w:w="100" w:type="dxa"/>
              <w:left w:w="100" w:type="dxa"/>
              <w:bottom w:w="100" w:type="dxa"/>
              <w:right w:w="100" w:type="dxa"/>
            </w:tcMar>
          </w:tcPr>
          <w:p w14:paraId="5F7BE0BA" w14:textId="77777777" w:rsidR="00A3515A" w:rsidRPr="009F63C7" w:rsidRDefault="00A3515A" w:rsidP="0070227C">
            <w:pPr>
              <w:ind w:right="100"/>
              <w:rPr>
                <w:rFonts w:asciiTheme="majorHAnsi" w:hAnsiTheme="majorHAnsi" w:cstheme="majorHAnsi"/>
              </w:rPr>
            </w:pPr>
            <w:r w:rsidRPr="009F63C7">
              <w:rPr>
                <w:rFonts w:asciiTheme="majorHAnsi" w:hAnsiTheme="majorHAnsi" w:cstheme="majorHAnsi"/>
              </w:rPr>
              <w:t>Column 5</w:t>
            </w:r>
          </w:p>
        </w:tc>
        <w:tc>
          <w:tcPr>
            <w:tcW w:w="552" w:type="pct"/>
            <w:tcMar>
              <w:top w:w="100" w:type="dxa"/>
              <w:left w:w="100" w:type="dxa"/>
              <w:bottom w:w="100" w:type="dxa"/>
              <w:right w:w="100" w:type="dxa"/>
            </w:tcMar>
          </w:tcPr>
          <w:p w14:paraId="2E6924BA" w14:textId="77777777" w:rsidR="00A3515A" w:rsidRPr="009F63C7" w:rsidRDefault="00A3515A" w:rsidP="0070227C">
            <w:pPr>
              <w:ind w:right="100"/>
              <w:rPr>
                <w:rFonts w:asciiTheme="majorHAnsi" w:hAnsiTheme="majorHAnsi" w:cstheme="majorHAnsi"/>
              </w:rPr>
            </w:pPr>
            <w:r w:rsidRPr="009F63C7">
              <w:rPr>
                <w:rFonts w:asciiTheme="majorHAnsi" w:hAnsiTheme="majorHAnsi" w:cstheme="majorHAnsi"/>
              </w:rPr>
              <w:t xml:space="preserve"> Column 6</w:t>
            </w:r>
            <w:r>
              <w:rPr>
                <w:rFonts w:asciiTheme="majorHAnsi" w:hAnsiTheme="majorHAnsi" w:cstheme="majorHAnsi"/>
              </w:rPr>
              <w:t xml:space="preserve"> EXPLANATION </w:t>
            </w:r>
          </w:p>
        </w:tc>
        <w:tc>
          <w:tcPr>
            <w:tcW w:w="1997" w:type="pct"/>
          </w:tcPr>
          <w:p w14:paraId="12B2AF4B" w14:textId="77777777" w:rsidR="00A3515A" w:rsidRPr="009F63C7" w:rsidRDefault="00A3515A" w:rsidP="0070227C">
            <w:pPr>
              <w:ind w:right="100"/>
              <w:rPr>
                <w:rFonts w:asciiTheme="majorHAnsi" w:hAnsiTheme="majorHAnsi" w:cstheme="majorHAnsi"/>
              </w:rPr>
            </w:pPr>
            <w:r>
              <w:rPr>
                <w:rFonts w:asciiTheme="majorHAnsi" w:hAnsiTheme="majorHAnsi" w:cstheme="majorHAnsi"/>
              </w:rPr>
              <w:t>Column 7 Links to evidence</w:t>
            </w:r>
          </w:p>
        </w:tc>
      </w:tr>
      <w:tr w:rsidR="00243CAF" w:rsidRPr="009F63C7" w14:paraId="79CB2777" w14:textId="77777777" w:rsidTr="00703DB8">
        <w:trPr>
          <w:trHeight w:val="2148"/>
        </w:trPr>
        <w:tc>
          <w:tcPr>
            <w:tcW w:w="319" w:type="pct"/>
            <w:shd w:val="clear" w:color="auto" w:fill="FFF2CC"/>
            <w:tcMar>
              <w:top w:w="100" w:type="dxa"/>
              <w:left w:w="100" w:type="dxa"/>
              <w:bottom w:w="100" w:type="dxa"/>
              <w:right w:w="100" w:type="dxa"/>
            </w:tcMar>
          </w:tcPr>
          <w:p w14:paraId="29A31145" w14:textId="77777777" w:rsidR="00A3515A" w:rsidRPr="009F63C7" w:rsidRDefault="00A3515A" w:rsidP="0070227C">
            <w:pPr>
              <w:rPr>
                <w:rFonts w:asciiTheme="majorHAnsi" w:hAnsiTheme="majorHAnsi" w:cstheme="majorHAnsi"/>
              </w:rPr>
            </w:pPr>
            <w:r w:rsidRPr="009F63C7">
              <w:rPr>
                <w:rFonts w:asciiTheme="majorHAnsi" w:hAnsiTheme="majorHAnsi" w:cstheme="majorHAnsi"/>
              </w:rPr>
              <w:t>FP</w:t>
            </w:r>
          </w:p>
        </w:tc>
        <w:tc>
          <w:tcPr>
            <w:tcW w:w="441" w:type="pct"/>
            <w:shd w:val="clear" w:color="auto" w:fill="FFF2CC"/>
            <w:tcMar>
              <w:top w:w="100" w:type="dxa"/>
              <w:left w:w="100" w:type="dxa"/>
              <w:bottom w:w="100" w:type="dxa"/>
              <w:right w:w="100" w:type="dxa"/>
            </w:tcMar>
          </w:tcPr>
          <w:p w14:paraId="6FDA5536" w14:textId="77777777" w:rsidR="00A3515A" w:rsidRPr="009F63C7" w:rsidRDefault="00A3515A" w:rsidP="0070227C">
            <w:pPr>
              <w:jc w:val="center"/>
              <w:rPr>
                <w:rFonts w:asciiTheme="majorHAnsi" w:hAnsiTheme="majorHAnsi" w:cstheme="majorHAnsi"/>
              </w:rPr>
            </w:pPr>
            <w:r w:rsidRPr="009F63C7">
              <w:rPr>
                <w:rFonts w:asciiTheme="majorHAnsi" w:hAnsiTheme="majorHAnsi" w:cstheme="majorHAnsi"/>
              </w:rPr>
              <w:t xml:space="preserve">FP outcomes 2022 </w:t>
            </w:r>
          </w:p>
        </w:tc>
        <w:tc>
          <w:tcPr>
            <w:tcW w:w="432" w:type="pct"/>
            <w:shd w:val="clear" w:color="auto" w:fill="EDEDED" w:themeFill="accent3" w:themeFillTint="33"/>
          </w:tcPr>
          <w:p w14:paraId="2603EDF5" w14:textId="77777777" w:rsidR="00A3515A" w:rsidRPr="00CD73D3" w:rsidRDefault="00A3515A" w:rsidP="0070227C">
            <w:pPr>
              <w:rPr>
                <w:rFonts w:asciiTheme="majorHAnsi" w:hAnsiTheme="majorHAnsi" w:cstheme="majorHAnsi"/>
                <w:highlight w:val="green"/>
              </w:rPr>
            </w:pPr>
            <w:r w:rsidRPr="00CD73D3">
              <w:rPr>
                <w:rFonts w:asciiTheme="majorHAnsi" w:hAnsiTheme="majorHAnsi" w:cstheme="majorHAnsi"/>
                <w:highlight w:val="green"/>
              </w:rPr>
              <w:t xml:space="preserve">Sub-IDOs </w:t>
            </w:r>
          </w:p>
        </w:tc>
        <w:tc>
          <w:tcPr>
            <w:tcW w:w="373" w:type="pct"/>
            <w:shd w:val="clear" w:color="auto" w:fill="EDEDED" w:themeFill="accent3" w:themeFillTint="33"/>
            <w:tcMar>
              <w:top w:w="100" w:type="dxa"/>
              <w:left w:w="100" w:type="dxa"/>
              <w:bottom w:w="100" w:type="dxa"/>
              <w:right w:w="100" w:type="dxa"/>
            </w:tcMar>
          </w:tcPr>
          <w:p w14:paraId="7FCC94DC" w14:textId="77777777" w:rsidR="00A3515A" w:rsidRPr="009F63C7" w:rsidRDefault="00A3515A" w:rsidP="0070227C">
            <w:pPr>
              <w:rPr>
                <w:rFonts w:asciiTheme="majorHAnsi" w:hAnsiTheme="majorHAnsi" w:cstheme="majorHAnsi"/>
              </w:rPr>
            </w:pPr>
            <w:r w:rsidRPr="009F63C7">
              <w:rPr>
                <w:rFonts w:asciiTheme="majorHAnsi" w:hAnsiTheme="majorHAnsi" w:cstheme="majorHAnsi"/>
              </w:rPr>
              <w:t xml:space="preserve">Summary narrative on progress against each FP outcome this year.  </w:t>
            </w:r>
          </w:p>
        </w:tc>
        <w:tc>
          <w:tcPr>
            <w:tcW w:w="505" w:type="pct"/>
            <w:shd w:val="clear" w:color="auto" w:fill="FFF2CC"/>
            <w:tcMar>
              <w:top w:w="100" w:type="dxa"/>
              <w:left w:w="100" w:type="dxa"/>
              <w:bottom w:w="100" w:type="dxa"/>
              <w:right w:w="100" w:type="dxa"/>
            </w:tcMar>
          </w:tcPr>
          <w:p w14:paraId="6677B95A" w14:textId="77777777" w:rsidR="00A3515A" w:rsidRPr="009F63C7" w:rsidRDefault="00A3515A" w:rsidP="0070227C">
            <w:pPr>
              <w:jc w:val="center"/>
              <w:rPr>
                <w:rFonts w:asciiTheme="majorHAnsi" w:hAnsiTheme="majorHAnsi" w:cstheme="majorHAnsi"/>
              </w:rPr>
            </w:pPr>
            <w:r w:rsidRPr="009F63C7">
              <w:rPr>
                <w:rFonts w:asciiTheme="majorHAnsi" w:hAnsiTheme="majorHAnsi" w:cstheme="majorHAnsi"/>
              </w:rPr>
              <w:t>Milestone</w:t>
            </w:r>
          </w:p>
        </w:tc>
        <w:tc>
          <w:tcPr>
            <w:tcW w:w="379" w:type="pct"/>
            <w:shd w:val="clear" w:color="auto" w:fill="EDEDED" w:themeFill="accent3" w:themeFillTint="33"/>
            <w:tcMar>
              <w:top w:w="100" w:type="dxa"/>
              <w:left w:w="100" w:type="dxa"/>
              <w:bottom w:w="100" w:type="dxa"/>
              <w:right w:w="100" w:type="dxa"/>
            </w:tcMar>
          </w:tcPr>
          <w:p w14:paraId="1A0E8E3C" w14:textId="77777777" w:rsidR="00A3515A" w:rsidRPr="009F63C7" w:rsidRDefault="00A3515A" w:rsidP="0070227C">
            <w:pPr>
              <w:rPr>
                <w:rFonts w:asciiTheme="majorHAnsi" w:hAnsiTheme="majorHAnsi" w:cstheme="majorHAnsi"/>
              </w:rPr>
            </w:pPr>
            <w:r w:rsidRPr="009F63C7">
              <w:rPr>
                <w:rFonts w:asciiTheme="majorHAnsi" w:hAnsiTheme="majorHAnsi" w:cstheme="majorHAnsi"/>
              </w:rPr>
              <w:t>201</w:t>
            </w:r>
            <w:r>
              <w:rPr>
                <w:rFonts w:asciiTheme="majorHAnsi" w:hAnsiTheme="majorHAnsi" w:cstheme="majorHAnsi"/>
              </w:rPr>
              <w:t xml:space="preserve">9 </w:t>
            </w:r>
            <w:r w:rsidRPr="009F63C7">
              <w:rPr>
                <w:rFonts w:asciiTheme="majorHAnsi" w:hAnsiTheme="majorHAnsi" w:cstheme="majorHAnsi"/>
              </w:rPr>
              <w:t>milestones status (drop down: complete, extended, cancelled or changed)</w:t>
            </w:r>
          </w:p>
        </w:tc>
        <w:tc>
          <w:tcPr>
            <w:tcW w:w="552" w:type="pct"/>
            <w:shd w:val="clear" w:color="auto" w:fill="EDEDED" w:themeFill="accent3" w:themeFillTint="33"/>
            <w:tcMar>
              <w:top w:w="100" w:type="dxa"/>
              <w:left w:w="100" w:type="dxa"/>
              <w:bottom w:w="100" w:type="dxa"/>
              <w:right w:w="100" w:type="dxa"/>
            </w:tcMar>
          </w:tcPr>
          <w:p w14:paraId="3B7353C9" w14:textId="77777777" w:rsidR="00A3515A" w:rsidRPr="009F63C7" w:rsidRDefault="00A3515A" w:rsidP="0070227C">
            <w:pPr>
              <w:rPr>
                <w:rFonts w:asciiTheme="majorHAnsi" w:hAnsiTheme="majorHAnsi" w:cstheme="majorHAnsi"/>
              </w:rPr>
            </w:pPr>
            <w:r w:rsidRPr="009F63C7">
              <w:rPr>
                <w:rFonts w:asciiTheme="majorHAnsi" w:hAnsiTheme="majorHAnsi" w:cstheme="majorHAnsi"/>
              </w:rPr>
              <w:t xml:space="preserve">Provide evidence for completed milestones (refer back to means of verification, and link to evidence wherever possible) or explanation for extended, cancelled or changed.  </w:t>
            </w:r>
          </w:p>
          <w:p w14:paraId="52622481" w14:textId="77777777" w:rsidR="00A3515A" w:rsidRPr="009F63C7" w:rsidRDefault="00A3515A" w:rsidP="0070227C">
            <w:pPr>
              <w:rPr>
                <w:rFonts w:asciiTheme="majorHAnsi" w:hAnsiTheme="majorHAnsi" w:cstheme="majorHAnsi"/>
              </w:rPr>
            </w:pPr>
          </w:p>
          <w:p w14:paraId="1A1F4494" w14:textId="77777777" w:rsidR="00A3515A" w:rsidRPr="009F63C7" w:rsidRDefault="00A3515A" w:rsidP="0070227C">
            <w:pPr>
              <w:rPr>
                <w:rFonts w:asciiTheme="majorHAnsi" w:hAnsiTheme="majorHAnsi" w:cstheme="majorHAnsi"/>
              </w:rPr>
            </w:pPr>
            <w:r w:rsidRPr="009F63C7">
              <w:rPr>
                <w:rFonts w:asciiTheme="majorHAnsi" w:hAnsiTheme="majorHAnsi" w:cstheme="majorHAnsi"/>
              </w:rPr>
              <w:t>Max 50 words/milestone</w:t>
            </w:r>
          </w:p>
        </w:tc>
        <w:tc>
          <w:tcPr>
            <w:tcW w:w="1997" w:type="pct"/>
            <w:shd w:val="clear" w:color="auto" w:fill="EDEDED" w:themeFill="accent3" w:themeFillTint="33"/>
          </w:tcPr>
          <w:p w14:paraId="3C96A1D4" w14:textId="77777777" w:rsidR="00A3515A" w:rsidRPr="009F63C7" w:rsidRDefault="00A3515A" w:rsidP="0070227C">
            <w:pPr>
              <w:rPr>
                <w:rFonts w:asciiTheme="majorHAnsi" w:hAnsiTheme="majorHAnsi" w:cstheme="majorHAnsi"/>
              </w:rPr>
            </w:pPr>
          </w:p>
        </w:tc>
      </w:tr>
      <w:tr w:rsidR="00E13653" w:rsidRPr="009F63C7" w14:paraId="089A73C5" w14:textId="77777777" w:rsidTr="00703DB8">
        <w:trPr>
          <w:trHeight w:val="263"/>
        </w:trPr>
        <w:tc>
          <w:tcPr>
            <w:tcW w:w="319" w:type="pct"/>
            <w:tcBorders>
              <w:top w:val="single" w:sz="4" w:space="0" w:color="auto"/>
              <w:bottom w:val="single" w:sz="4" w:space="0" w:color="auto"/>
              <w:right w:val="single" w:sz="4" w:space="0" w:color="auto"/>
            </w:tcBorders>
            <w:shd w:val="clear" w:color="auto" w:fill="E2EFD9" w:themeFill="accent6" w:themeFillTint="33"/>
            <w:tcMar>
              <w:top w:w="100" w:type="dxa"/>
              <w:left w:w="100" w:type="dxa"/>
              <w:bottom w:w="100" w:type="dxa"/>
              <w:right w:w="100" w:type="dxa"/>
            </w:tcMar>
          </w:tcPr>
          <w:p w14:paraId="04F72A2F" w14:textId="03C1EA4F" w:rsidR="00E13653" w:rsidRPr="009F63C7" w:rsidRDefault="00E22D79" w:rsidP="00E13653">
            <w:pPr>
              <w:rPr>
                <w:rFonts w:asciiTheme="majorHAnsi" w:hAnsiTheme="majorHAnsi" w:cstheme="majorHAnsi"/>
              </w:rPr>
            </w:pPr>
            <w:r>
              <w:rPr>
                <w:rFonts w:asciiTheme="majorHAnsi" w:hAnsiTheme="majorHAnsi" w:cstheme="majorHAnsi"/>
              </w:rPr>
              <w:t>3</w:t>
            </w:r>
          </w:p>
        </w:tc>
        <w:tc>
          <w:tcPr>
            <w:tcW w:w="44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100" w:type="dxa"/>
              <w:left w:w="100" w:type="dxa"/>
              <w:bottom w:w="100" w:type="dxa"/>
              <w:right w:w="100" w:type="dxa"/>
            </w:tcMar>
            <w:vAlign w:val="center"/>
          </w:tcPr>
          <w:p w14:paraId="191A06FF" w14:textId="735A24BE" w:rsidR="00E13653" w:rsidRPr="00E22D79" w:rsidRDefault="00E13653" w:rsidP="00E22D79">
            <w:pPr>
              <w:ind w:right="100"/>
              <w:rPr>
                <w:rFonts w:asciiTheme="majorHAnsi" w:hAnsiTheme="majorHAnsi" w:cstheme="majorHAnsi"/>
                <w:color w:val="000000" w:themeColor="text1"/>
              </w:rPr>
            </w:pPr>
            <w:r w:rsidRPr="00E22D79">
              <w:rPr>
                <w:rFonts w:ascii="Calibri" w:hAnsi="Calibri" w:cs="Calibri"/>
                <w:color w:val="000000" w:themeColor="text1"/>
                <w:sz w:val="20"/>
                <w:szCs w:val="20"/>
              </w:rPr>
              <w:t xml:space="preserve">FP3.O1. Pest and </w:t>
            </w:r>
            <w:r w:rsidRPr="00E22D79">
              <w:rPr>
                <w:rFonts w:ascii="Calibri" w:hAnsi="Calibri" w:cs="Calibri"/>
                <w:color w:val="000000" w:themeColor="text1"/>
                <w:sz w:val="20"/>
                <w:szCs w:val="20"/>
              </w:rPr>
              <w:lastRenderedPageBreak/>
              <w:t>diseases controlled safely and with reduced agro-chemical inputs</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168B27C6" w14:textId="3C5EDB2C" w:rsidR="00E13653" w:rsidRPr="00E22D79" w:rsidRDefault="00E13653" w:rsidP="00E22D79">
            <w:pPr>
              <w:ind w:right="100"/>
              <w:rPr>
                <w:rFonts w:asciiTheme="majorHAnsi" w:hAnsiTheme="majorHAnsi" w:cstheme="majorHAnsi"/>
                <w:color w:val="000000" w:themeColor="text1"/>
                <w:highlight w:val="white"/>
              </w:rPr>
            </w:pPr>
            <w:r w:rsidRPr="00E22D79">
              <w:rPr>
                <w:rFonts w:ascii="Calibri" w:hAnsi="Calibri" w:cs="Calibri"/>
                <w:color w:val="000000" w:themeColor="text1"/>
                <w:sz w:val="20"/>
                <w:szCs w:val="20"/>
              </w:rPr>
              <w:lastRenderedPageBreak/>
              <w:t xml:space="preserve">Reduced production </w:t>
            </w:r>
            <w:r w:rsidRPr="00E22D79">
              <w:rPr>
                <w:rFonts w:ascii="Calibri" w:hAnsi="Calibri" w:cs="Calibri"/>
                <w:color w:val="000000" w:themeColor="text1"/>
                <w:sz w:val="20"/>
                <w:szCs w:val="20"/>
              </w:rPr>
              <w:lastRenderedPageBreak/>
              <w:t>risk</w:t>
            </w:r>
          </w:p>
        </w:tc>
        <w:tc>
          <w:tcPr>
            <w:tcW w:w="373"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81A72D" w14:textId="72A5315E" w:rsidR="00E13653" w:rsidRPr="00E22D79" w:rsidRDefault="00E13653" w:rsidP="00E22D79">
            <w:pPr>
              <w:ind w:right="100"/>
              <w:rPr>
                <w:rFonts w:asciiTheme="majorHAnsi" w:hAnsiTheme="majorHAnsi" w:cstheme="majorHAnsi"/>
                <w:color w:val="000000" w:themeColor="text1"/>
                <w:highlight w:val="white"/>
              </w:rPr>
            </w:pPr>
          </w:p>
        </w:tc>
        <w:tc>
          <w:tcPr>
            <w:tcW w:w="505" w:type="pct"/>
            <w:tcBorders>
              <w:top w:val="single" w:sz="4" w:space="0" w:color="auto"/>
              <w:left w:val="single" w:sz="4" w:space="0" w:color="auto"/>
              <w:bottom w:val="single" w:sz="4" w:space="0" w:color="auto"/>
            </w:tcBorders>
            <w:shd w:val="clear" w:color="auto" w:fill="D9EAD3"/>
            <w:tcMar>
              <w:top w:w="100" w:type="dxa"/>
              <w:left w:w="100" w:type="dxa"/>
              <w:bottom w:w="100" w:type="dxa"/>
              <w:right w:w="100" w:type="dxa"/>
            </w:tcMar>
            <w:vAlign w:val="center"/>
          </w:tcPr>
          <w:p w14:paraId="4FF757CB" w14:textId="5230E3B7" w:rsidR="00E13653" w:rsidRPr="00E22D79" w:rsidRDefault="00E13653" w:rsidP="00E22D79">
            <w:pPr>
              <w:ind w:right="100"/>
              <w:rPr>
                <w:rFonts w:asciiTheme="majorHAnsi" w:hAnsiTheme="majorHAnsi" w:cstheme="majorHAnsi"/>
                <w:color w:val="000000" w:themeColor="text1"/>
              </w:rPr>
            </w:pPr>
            <w:r w:rsidRPr="00E22D79">
              <w:rPr>
                <w:rFonts w:ascii="Calibri" w:hAnsi="Calibri" w:cs="Calibri"/>
                <w:color w:val="000000" w:themeColor="text1"/>
                <w:sz w:val="20"/>
                <w:szCs w:val="20"/>
              </w:rPr>
              <w:t xml:space="preserve">Efficacy of selected pest </w:t>
            </w:r>
            <w:r w:rsidRPr="00E22D79">
              <w:rPr>
                <w:rFonts w:ascii="Calibri" w:hAnsi="Calibri" w:cs="Calibri"/>
                <w:color w:val="000000" w:themeColor="text1"/>
                <w:sz w:val="20"/>
                <w:szCs w:val="20"/>
              </w:rPr>
              <w:lastRenderedPageBreak/>
              <w:t xml:space="preserve">and diseases management options </w:t>
            </w:r>
          </w:p>
        </w:tc>
        <w:tc>
          <w:tcPr>
            <w:tcW w:w="379" w:type="pct"/>
            <w:shd w:val="clear" w:color="auto" w:fill="FFFFFF"/>
            <w:tcMar>
              <w:top w:w="100" w:type="dxa"/>
              <w:left w:w="100" w:type="dxa"/>
              <w:bottom w:w="100" w:type="dxa"/>
              <w:right w:w="100" w:type="dxa"/>
            </w:tcMar>
          </w:tcPr>
          <w:p w14:paraId="5EEFD6B1" w14:textId="1A07937D" w:rsidR="00E13653" w:rsidRPr="00571CB7" w:rsidRDefault="00B54559" w:rsidP="00E22D79">
            <w:pPr>
              <w:rPr>
                <w:rFonts w:asciiTheme="minorHAnsi" w:hAnsiTheme="minorHAnsi" w:cstheme="minorHAnsi"/>
                <w:sz w:val="20"/>
                <w:szCs w:val="20"/>
              </w:rPr>
            </w:pPr>
            <w:r w:rsidRPr="00571CB7">
              <w:rPr>
                <w:rFonts w:asciiTheme="minorHAnsi" w:hAnsiTheme="minorHAnsi" w:cstheme="minorHAnsi"/>
                <w:sz w:val="20"/>
                <w:szCs w:val="20"/>
              </w:rPr>
              <w:lastRenderedPageBreak/>
              <w:t>Extended</w:t>
            </w:r>
          </w:p>
        </w:tc>
        <w:tc>
          <w:tcPr>
            <w:tcW w:w="552" w:type="pct"/>
            <w:shd w:val="clear" w:color="auto" w:fill="FFFFFF"/>
            <w:tcMar>
              <w:top w:w="100" w:type="dxa"/>
              <w:left w:w="100" w:type="dxa"/>
              <w:bottom w:w="100" w:type="dxa"/>
              <w:right w:w="100" w:type="dxa"/>
            </w:tcMar>
          </w:tcPr>
          <w:p w14:paraId="320C3D3C" w14:textId="76681334" w:rsidR="00E13653" w:rsidRPr="00571CB7" w:rsidRDefault="00B54559" w:rsidP="00E22D79">
            <w:pPr>
              <w:rPr>
                <w:rFonts w:asciiTheme="minorHAnsi" w:hAnsiTheme="minorHAnsi" w:cstheme="minorHAnsi"/>
                <w:sz w:val="20"/>
                <w:szCs w:val="20"/>
              </w:rPr>
            </w:pPr>
            <w:r w:rsidRPr="00571CB7">
              <w:rPr>
                <w:rFonts w:asciiTheme="minorHAnsi" w:hAnsiTheme="minorHAnsi" w:cstheme="minorHAnsi"/>
                <w:sz w:val="20"/>
                <w:szCs w:val="20"/>
              </w:rPr>
              <w:t>1, 2 and 6</w:t>
            </w:r>
          </w:p>
        </w:tc>
        <w:tc>
          <w:tcPr>
            <w:tcW w:w="1997" w:type="pct"/>
            <w:shd w:val="clear" w:color="auto" w:fill="FFFFFF"/>
          </w:tcPr>
          <w:p w14:paraId="1A960715" w14:textId="77777777" w:rsidR="00E13653" w:rsidRPr="009F63C7" w:rsidRDefault="00E13653" w:rsidP="00E22D79">
            <w:pPr>
              <w:rPr>
                <w:rFonts w:asciiTheme="majorHAnsi" w:hAnsiTheme="majorHAnsi" w:cstheme="majorHAnsi"/>
              </w:rPr>
            </w:pPr>
          </w:p>
        </w:tc>
      </w:tr>
      <w:tr w:rsidR="00C7256D" w:rsidRPr="009F63C7" w14:paraId="651F2791" w14:textId="77777777" w:rsidTr="00703DB8">
        <w:trPr>
          <w:trHeight w:val="263"/>
        </w:trPr>
        <w:tc>
          <w:tcPr>
            <w:tcW w:w="319" w:type="pct"/>
            <w:tcBorders>
              <w:top w:val="single" w:sz="4" w:space="0" w:color="auto"/>
              <w:bottom w:val="single" w:sz="4" w:space="0" w:color="auto"/>
              <w:right w:val="single" w:sz="4" w:space="0" w:color="auto"/>
            </w:tcBorders>
            <w:shd w:val="clear" w:color="auto" w:fill="E2EFD9" w:themeFill="accent6" w:themeFillTint="33"/>
            <w:tcMar>
              <w:top w:w="100" w:type="dxa"/>
              <w:left w:w="100" w:type="dxa"/>
              <w:bottom w:w="100" w:type="dxa"/>
              <w:right w:w="100" w:type="dxa"/>
            </w:tcMar>
          </w:tcPr>
          <w:p w14:paraId="439623F0" w14:textId="15554C3A" w:rsidR="00C7256D" w:rsidRDefault="00C7256D" w:rsidP="00C7256D">
            <w:pPr>
              <w:rPr>
                <w:rFonts w:asciiTheme="majorHAnsi" w:hAnsiTheme="majorHAnsi" w:cstheme="majorHAnsi"/>
              </w:rPr>
            </w:pPr>
            <w:r>
              <w:rPr>
                <w:rFonts w:asciiTheme="majorHAnsi" w:hAnsiTheme="majorHAnsi" w:cstheme="majorHAnsi"/>
              </w:rPr>
              <w:t>3</w:t>
            </w:r>
          </w:p>
        </w:tc>
        <w:tc>
          <w:tcPr>
            <w:tcW w:w="44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100" w:type="dxa"/>
              <w:left w:w="100" w:type="dxa"/>
              <w:bottom w:w="100" w:type="dxa"/>
              <w:right w:w="100" w:type="dxa"/>
            </w:tcMar>
            <w:vAlign w:val="center"/>
          </w:tcPr>
          <w:p w14:paraId="71ED7FB5" w14:textId="045A075E" w:rsidR="00C7256D" w:rsidRDefault="00C7256D" w:rsidP="00C7256D">
            <w:pPr>
              <w:ind w:right="100"/>
              <w:rPr>
                <w:rFonts w:ascii="Calibri" w:hAnsi="Calibri" w:cs="Calibri"/>
                <w:sz w:val="20"/>
                <w:szCs w:val="20"/>
              </w:rPr>
            </w:pPr>
            <w:r w:rsidRPr="00E22D79">
              <w:rPr>
                <w:rFonts w:ascii="Calibri" w:hAnsi="Calibri" w:cs="Calibri"/>
                <w:color w:val="000000" w:themeColor="text1"/>
                <w:sz w:val="20"/>
                <w:szCs w:val="20"/>
              </w:rPr>
              <w:t>FP3.O1. Pest and diseases controlled safely and with reduced agro-chemical inputs</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3F493492" w14:textId="0CD960C4" w:rsidR="00C7256D" w:rsidRDefault="00C7256D" w:rsidP="00C7256D">
            <w:pPr>
              <w:ind w:right="100"/>
              <w:rPr>
                <w:rFonts w:ascii="Calibri" w:hAnsi="Calibri" w:cs="Calibri"/>
                <w:sz w:val="20"/>
                <w:szCs w:val="20"/>
              </w:rPr>
            </w:pPr>
            <w:r w:rsidRPr="00E22D79">
              <w:rPr>
                <w:rFonts w:ascii="Calibri" w:hAnsi="Calibri" w:cs="Calibri"/>
                <w:color w:val="000000" w:themeColor="text1"/>
                <w:sz w:val="20"/>
                <w:szCs w:val="20"/>
              </w:rPr>
              <w:t>Reduced production risk</w:t>
            </w:r>
          </w:p>
        </w:tc>
        <w:tc>
          <w:tcPr>
            <w:tcW w:w="373"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729B94" w14:textId="77777777" w:rsidR="00C7256D" w:rsidRPr="009F63C7" w:rsidRDefault="00C7256D" w:rsidP="00C7256D">
            <w:pPr>
              <w:ind w:right="100"/>
              <w:rPr>
                <w:rFonts w:asciiTheme="majorHAnsi" w:hAnsiTheme="majorHAnsi" w:cstheme="majorHAnsi"/>
                <w:highlight w:val="white"/>
              </w:rPr>
            </w:pPr>
          </w:p>
        </w:tc>
        <w:tc>
          <w:tcPr>
            <w:tcW w:w="505" w:type="pct"/>
            <w:tcBorders>
              <w:top w:val="single" w:sz="4" w:space="0" w:color="auto"/>
              <w:left w:val="single" w:sz="4" w:space="0" w:color="auto"/>
              <w:bottom w:val="single" w:sz="4" w:space="0" w:color="auto"/>
            </w:tcBorders>
            <w:shd w:val="clear" w:color="auto" w:fill="D9EAD3"/>
            <w:tcMar>
              <w:top w:w="100" w:type="dxa"/>
              <w:left w:w="100" w:type="dxa"/>
              <w:bottom w:w="100" w:type="dxa"/>
              <w:right w:w="100" w:type="dxa"/>
            </w:tcMar>
            <w:vAlign w:val="center"/>
          </w:tcPr>
          <w:p w14:paraId="25C7751A" w14:textId="7501E851" w:rsidR="00C7256D" w:rsidRDefault="00C7256D" w:rsidP="00C7256D">
            <w:pPr>
              <w:ind w:right="100"/>
              <w:rPr>
                <w:rFonts w:ascii="Calibri" w:hAnsi="Calibri" w:cs="Calibri"/>
                <w:sz w:val="20"/>
                <w:szCs w:val="20"/>
              </w:rPr>
            </w:pPr>
            <w:r w:rsidRPr="00E22D79">
              <w:rPr>
                <w:rFonts w:ascii="Calibri" w:hAnsi="Calibri" w:cs="Calibri"/>
                <w:color w:val="000000" w:themeColor="text1"/>
                <w:sz w:val="20"/>
                <w:szCs w:val="20"/>
              </w:rPr>
              <w:t>Efficacy of resource and soil management options confirmed at pilot scale</w:t>
            </w:r>
          </w:p>
        </w:tc>
        <w:tc>
          <w:tcPr>
            <w:tcW w:w="379" w:type="pct"/>
            <w:shd w:val="clear" w:color="auto" w:fill="FFFFFF"/>
            <w:tcMar>
              <w:top w:w="100" w:type="dxa"/>
              <w:left w:w="100" w:type="dxa"/>
              <w:bottom w:w="100" w:type="dxa"/>
              <w:right w:w="100" w:type="dxa"/>
            </w:tcMar>
          </w:tcPr>
          <w:p w14:paraId="6FE4357E" w14:textId="477DB0B2" w:rsidR="00C7256D" w:rsidRPr="00571CB7" w:rsidRDefault="0054757D" w:rsidP="00C7256D">
            <w:pPr>
              <w:rPr>
                <w:rFonts w:asciiTheme="minorHAnsi" w:hAnsiTheme="minorHAnsi" w:cstheme="minorHAnsi"/>
                <w:sz w:val="20"/>
                <w:szCs w:val="20"/>
              </w:rPr>
            </w:pPr>
            <w:r w:rsidRPr="00571CB7">
              <w:rPr>
                <w:rFonts w:asciiTheme="minorHAnsi" w:hAnsiTheme="minorHAnsi" w:cstheme="minorHAnsi"/>
                <w:sz w:val="20"/>
                <w:szCs w:val="20"/>
              </w:rPr>
              <w:t>Extended</w:t>
            </w:r>
          </w:p>
        </w:tc>
        <w:tc>
          <w:tcPr>
            <w:tcW w:w="552" w:type="pct"/>
            <w:shd w:val="clear" w:color="auto" w:fill="FFFFFF"/>
            <w:tcMar>
              <w:top w:w="100" w:type="dxa"/>
              <w:left w:w="100" w:type="dxa"/>
              <w:bottom w:w="100" w:type="dxa"/>
              <w:right w:w="100" w:type="dxa"/>
            </w:tcMar>
          </w:tcPr>
          <w:p w14:paraId="398533EE" w14:textId="77777777" w:rsidR="00C7256D" w:rsidRDefault="0054757D" w:rsidP="00C7256D">
            <w:pPr>
              <w:rPr>
                <w:rFonts w:asciiTheme="minorHAnsi" w:hAnsiTheme="minorHAnsi" w:cstheme="minorHAnsi"/>
                <w:sz w:val="20"/>
                <w:szCs w:val="20"/>
              </w:rPr>
            </w:pPr>
            <w:r w:rsidRPr="00571CB7">
              <w:rPr>
                <w:rFonts w:asciiTheme="minorHAnsi" w:hAnsiTheme="minorHAnsi" w:cstheme="minorHAnsi"/>
                <w:sz w:val="20"/>
                <w:szCs w:val="20"/>
              </w:rPr>
              <w:t>1, 2 and 6</w:t>
            </w:r>
          </w:p>
          <w:p w14:paraId="46260468" w14:textId="77777777" w:rsidR="00DB5FFC" w:rsidRDefault="00DB5FFC" w:rsidP="00C7256D">
            <w:pPr>
              <w:rPr>
                <w:rFonts w:asciiTheme="minorHAnsi" w:hAnsiTheme="minorHAnsi" w:cstheme="minorHAnsi"/>
                <w:sz w:val="20"/>
                <w:szCs w:val="20"/>
              </w:rPr>
            </w:pPr>
          </w:p>
          <w:p w14:paraId="20E514D1" w14:textId="7A0AB0C3" w:rsidR="00DB5FFC" w:rsidRPr="00DB5FFC" w:rsidRDefault="00DB5FFC" w:rsidP="00C7256D">
            <w:pPr>
              <w:rPr>
                <w:rFonts w:asciiTheme="minorHAnsi" w:hAnsiTheme="minorHAnsi" w:cstheme="minorHAnsi"/>
                <w:b/>
                <w:sz w:val="20"/>
                <w:szCs w:val="20"/>
              </w:rPr>
            </w:pPr>
          </w:p>
        </w:tc>
        <w:tc>
          <w:tcPr>
            <w:tcW w:w="1997" w:type="pct"/>
            <w:shd w:val="clear" w:color="auto" w:fill="FFFFFF"/>
          </w:tcPr>
          <w:p w14:paraId="0F5C5B17" w14:textId="77777777" w:rsidR="00C7256D" w:rsidRPr="009F63C7" w:rsidRDefault="00C7256D" w:rsidP="00C7256D">
            <w:pPr>
              <w:rPr>
                <w:rFonts w:asciiTheme="majorHAnsi" w:hAnsiTheme="majorHAnsi" w:cstheme="majorHAnsi"/>
              </w:rPr>
            </w:pPr>
          </w:p>
        </w:tc>
      </w:tr>
      <w:tr w:rsidR="00C7256D" w:rsidRPr="009F63C7" w14:paraId="1F90D0A3" w14:textId="77777777" w:rsidTr="00703DB8">
        <w:trPr>
          <w:trHeight w:val="263"/>
        </w:trPr>
        <w:tc>
          <w:tcPr>
            <w:tcW w:w="319" w:type="pct"/>
            <w:tcBorders>
              <w:top w:val="single" w:sz="4" w:space="0" w:color="auto"/>
              <w:bottom w:val="single" w:sz="4" w:space="0" w:color="auto"/>
              <w:right w:val="single" w:sz="4" w:space="0" w:color="auto"/>
            </w:tcBorders>
            <w:shd w:val="clear" w:color="auto" w:fill="E2EFD9" w:themeFill="accent6" w:themeFillTint="33"/>
            <w:tcMar>
              <w:top w:w="100" w:type="dxa"/>
              <w:left w:w="100" w:type="dxa"/>
              <w:bottom w:w="100" w:type="dxa"/>
              <w:right w:w="100" w:type="dxa"/>
            </w:tcMar>
          </w:tcPr>
          <w:p w14:paraId="5E6176BA" w14:textId="41468A87" w:rsidR="00C7256D" w:rsidRPr="009F63C7" w:rsidRDefault="00C7256D" w:rsidP="00C7256D">
            <w:pPr>
              <w:rPr>
                <w:rFonts w:asciiTheme="majorHAnsi" w:hAnsiTheme="majorHAnsi" w:cstheme="majorHAnsi"/>
              </w:rPr>
            </w:pPr>
            <w:r>
              <w:rPr>
                <w:rFonts w:asciiTheme="majorHAnsi" w:hAnsiTheme="majorHAnsi" w:cstheme="majorHAnsi"/>
              </w:rPr>
              <w:t>3</w:t>
            </w:r>
          </w:p>
        </w:tc>
        <w:tc>
          <w:tcPr>
            <w:tcW w:w="44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100" w:type="dxa"/>
              <w:left w:w="100" w:type="dxa"/>
              <w:bottom w:w="100" w:type="dxa"/>
              <w:right w:w="100" w:type="dxa"/>
            </w:tcMar>
            <w:vAlign w:val="center"/>
          </w:tcPr>
          <w:p w14:paraId="5C1495D6" w14:textId="6F83ABE7" w:rsidR="00C7256D" w:rsidRPr="009F63C7" w:rsidRDefault="00C7256D" w:rsidP="00C7256D">
            <w:pPr>
              <w:ind w:right="100"/>
              <w:rPr>
                <w:rFonts w:asciiTheme="majorHAnsi" w:hAnsiTheme="majorHAnsi" w:cstheme="majorHAnsi"/>
              </w:rPr>
            </w:pPr>
            <w:r>
              <w:rPr>
                <w:rFonts w:ascii="Calibri" w:hAnsi="Calibri" w:cs="Calibri"/>
                <w:sz w:val="20"/>
                <w:szCs w:val="20"/>
              </w:rPr>
              <w:t>FP3.O2. Cropping systems sustainably intensified and diversified</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1CC50B89" w14:textId="293698CA" w:rsidR="00C7256D" w:rsidRPr="009F63C7" w:rsidRDefault="00C7256D" w:rsidP="00C7256D">
            <w:pPr>
              <w:ind w:right="100"/>
              <w:rPr>
                <w:rFonts w:asciiTheme="majorHAnsi" w:hAnsiTheme="majorHAnsi" w:cstheme="majorHAnsi"/>
                <w:highlight w:val="white"/>
              </w:rPr>
            </w:pPr>
            <w:r>
              <w:rPr>
                <w:rFonts w:ascii="Calibri" w:hAnsi="Calibri" w:cs="Calibri"/>
                <w:sz w:val="20"/>
                <w:szCs w:val="20"/>
              </w:rPr>
              <w:t>Increased resilience of agro-ecosystems and communities, especially those including smallholders</w:t>
            </w:r>
          </w:p>
        </w:tc>
        <w:tc>
          <w:tcPr>
            <w:tcW w:w="373"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58439C" w14:textId="7E4FC54F" w:rsidR="00C7256D" w:rsidRPr="009F63C7" w:rsidRDefault="00C7256D" w:rsidP="00C7256D">
            <w:pPr>
              <w:ind w:right="100"/>
              <w:rPr>
                <w:rFonts w:asciiTheme="majorHAnsi" w:hAnsiTheme="majorHAnsi" w:cstheme="majorHAnsi"/>
                <w:highlight w:val="white"/>
              </w:rPr>
            </w:pPr>
          </w:p>
        </w:tc>
        <w:tc>
          <w:tcPr>
            <w:tcW w:w="505" w:type="pct"/>
            <w:tcBorders>
              <w:top w:val="single" w:sz="4" w:space="0" w:color="auto"/>
              <w:left w:val="single" w:sz="4" w:space="0" w:color="auto"/>
              <w:bottom w:val="single" w:sz="4" w:space="0" w:color="auto"/>
            </w:tcBorders>
            <w:shd w:val="clear" w:color="auto" w:fill="D9EAD3"/>
            <w:tcMar>
              <w:top w:w="100" w:type="dxa"/>
              <w:left w:w="100" w:type="dxa"/>
              <w:bottom w:w="100" w:type="dxa"/>
              <w:right w:w="100" w:type="dxa"/>
            </w:tcMar>
            <w:vAlign w:val="center"/>
          </w:tcPr>
          <w:p w14:paraId="2B26A465" w14:textId="0C8AD666" w:rsidR="00C7256D" w:rsidRPr="009F63C7" w:rsidRDefault="00C7256D" w:rsidP="00C7256D">
            <w:pPr>
              <w:ind w:right="100"/>
              <w:rPr>
                <w:rFonts w:asciiTheme="majorHAnsi" w:hAnsiTheme="majorHAnsi" w:cstheme="majorHAnsi"/>
              </w:rPr>
            </w:pPr>
            <w:r>
              <w:rPr>
                <w:rFonts w:ascii="Calibri" w:hAnsi="Calibri" w:cs="Calibri"/>
                <w:sz w:val="20"/>
                <w:szCs w:val="20"/>
              </w:rPr>
              <w:t>3,000 farmers are trained in the use of crop mixes and sequences in which they have jointly identified with researcher for better water and soil management</w:t>
            </w:r>
          </w:p>
        </w:tc>
        <w:tc>
          <w:tcPr>
            <w:tcW w:w="379" w:type="pct"/>
            <w:shd w:val="clear" w:color="auto" w:fill="FFFFFF"/>
            <w:tcMar>
              <w:top w:w="100" w:type="dxa"/>
              <w:left w:w="100" w:type="dxa"/>
              <w:bottom w:w="100" w:type="dxa"/>
              <w:right w:w="100" w:type="dxa"/>
            </w:tcMar>
          </w:tcPr>
          <w:p w14:paraId="047D7FAD" w14:textId="4A12337F" w:rsidR="00C7256D" w:rsidRPr="00571CB7" w:rsidRDefault="00AF493F" w:rsidP="00C7256D">
            <w:pPr>
              <w:rPr>
                <w:rFonts w:asciiTheme="minorHAnsi" w:hAnsiTheme="minorHAnsi" w:cstheme="minorHAnsi"/>
                <w:sz w:val="20"/>
                <w:szCs w:val="20"/>
              </w:rPr>
            </w:pPr>
            <w:r w:rsidRPr="00571CB7">
              <w:rPr>
                <w:rFonts w:asciiTheme="minorHAnsi" w:hAnsiTheme="minorHAnsi" w:cstheme="minorHAnsi"/>
                <w:sz w:val="20"/>
                <w:szCs w:val="20"/>
              </w:rPr>
              <w:t>Complete</w:t>
            </w:r>
          </w:p>
        </w:tc>
        <w:tc>
          <w:tcPr>
            <w:tcW w:w="552" w:type="pct"/>
            <w:shd w:val="clear" w:color="auto" w:fill="FFFFFF"/>
            <w:tcMar>
              <w:top w:w="100" w:type="dxa"/>
              <w:left w:w="100" w:type="dxa"/>
              <w:bottom w:w="100" w:type="dxa"/>
              <w:right w:w="100" w:type="dxa"/>
            </w:tcMar>
          </w:tcPr>
          <w:p w14:paraId="5D97C02D" w14:textId="629FF9AC" w:rsidR="00C7256D" w:rsidRPr="00571CB7" w:rsidRDefault="00D829D0" w:rsidP="00D829D0">
            <w:pPr>
              <w:rPr>
                <w:rFonts w:asciiTheme="minorHAnsi" w:hAnsiTheme="minorHAnsi" w:cstheme="minorHAnsi"/>
                <w:sz w:val="20"/>
                <w:szCs w:val="20"/>
              </w:rPr>
            </w:pPr>
            <w:r>
              <w:rPr>
                <w:rFonts w:asciiTheme="minorHAnsi" w:hAnsiTheme="minorHAnsi" w:cstheme="minorHAnsi"/>
                <w:sz w:val="20"/>
                <w:szCs w:val="20"/>
              </w:rPr>
              <w:t xml:space="preserve">Research and training of farmers, extension agents and students on legume systems and crop mixes for better water and soil management </w:t>
            </w:r>
            <w:r w:rsidR="00307867">
              <w:rPr>
                <w:rFonts w:asciiTheme="minorHAnsi" w:hAnsiTheme="minorHAnsi" w:cstheme="minorHAnsi"/>
                <w:sz w:val="20"/>
                <w:szCs w:val="20"/>
              </w:rPr>
              <w:t>f</w:t>
            </w:r>
            <w:r>
              <w:rPr>
                <w:rFonts w:asciiTheme="minorHAnsi" w:hAnsiTheme="minorHAnsi" w:cstheme="minorHAnsi"/>
                <w:sz w:val="20"/>
                <w:szCs w:val="20"/>
              </w:rPr>
              <w:t>o</w:t>
            </w:r>
            <w:r w:rsidR="00307867">
              <w:rPr>
                <w:rFonts w:asciiTheme="minorHAnsi" w:hAnsiTheme="minorHAnsi" w:cstheme="minorHAnsi"/>
                <w:sz w:val="20"/>
                <w:szCs w:val="20"/>
              </w:rPr>
              <w:t>r</w:t>
            </w:r>
            <w:r>
              <w:rPr>
                <w:rFonts w:asciiTheme="minorHAnsi" w:hAnsiTheme="minorHAnsi" w:cstheme="minorHAnsi"/>
                <w:sz w:val="20"/>
                <w:szCs w:val="20"/>
              </w:rPr>
              <w:t xml:space="preserve"> increased productivity </w:t>
            </w:r>
          </w:p>
        </w:tc>
        <w:tc>
          <w:tcPr>
            <w:tcW w:w="1997" w:type="pct"/>
            <w:shd w:val="clear" w:color="auto" w:fill="FFFFFF"/>
          </w:tcPr>
          <w:p w14:paraId="25806DE1" w14:textId="75AB2B9A" w:rsidR="00C7256D" w:rsidRDefault="00C7256D" w:rsidP="00C7256D">
            <w:pPr>
              <w:rPr>
                <w:rFonts w:asciiTheme="majorHAnsi" w:hAnsiTheme="majorHAnsi" w:cstheme="majorHAnsi"/>
                <w:sz w:val="20"/>
                <w:szCs w:val="20"/>
              </w:rPr>
            </w:pPr>
          </w:p>
          <w:p w14:paraId="3101CF62" w14:textId="61A5E812" w:rsidR="005A59BA" w:rsidRPr="00D22957" w:rsidRDefault="00703DB8" w:rsidP="00D22957">
            <w:hyperlink r:id="rId8" w:history="1">
              <w:r w:rsidR="005A59BA" w:rsidRPr="00D22957">
                <w:rPr>
                  <w:rStyle w:val="Hyperlink"/>
                  <w:rFonts w:eastAsiaTheme="majorEastAsia"/>
                </w:rPr>
                <w:t>https://mel.cgiar.org/reporting/report/id/6969/del_id/14401</w:t>
              </w:r>
            </w:hyperlink>
            <w:r w:rsidR="00D22957" w:rsidRPr="00D22957">
              <w:t xml:space="preserve"> </w:t>
            </w:r>
          </w:p>
          <w:p w14:paraId="46C595E3" w14:textId="3FC8EF87" w:rsidR="00D22957" w:rsidRPr="00D22957" w:rsidRDefault="00703DB8" w:rsidP="00D22957">
            <w:hyperlink r:id="rId9" w:history="1">
              <w:r w:rsidR="00D22957" w:rsidRPr="00D22957">
                <w:rPr>
                  <w:rStyle w:val="Hyperlink"/>
                  <w:rFonts w:eastAsiaTheme="majorEastAsia"/>
                </w:rPr>
                <w:t>https://mel.cgiar.org/reporting/report/id/6933/del_id/19917</w:t>
              </w:r>
            </w:hyperlink>
          </w:p>
          <w:p w14:paraId="4C1D67F0" w14:textId="77777777" w:rsidR="00D91DFB" w:rsidRPr="00D22957" w:rsidRDefault="00703DB8" w:rsidP="00D22957">
            <w:hyperlink r:id="rId10" w:history="1">
              <w:r w:rsidR="00D91DFB" w:rsidRPr="00D22957">
                <w:rPr>
                  <w:rStyle w:val="Hyperlink"/>
                  <w:rFonts w:eastAsiaTheme="majorEastAsia"/>
                  <w:color w:val="006DB4"/>
                </w:rPr>
                <w:t>https://doi.org/10.1080/14735903.2019.1609166</w:t>
              </w:r>
            </w:hyperlink>
          </w:p>
          <w:p w14:paraId="5003EBBC" w14:textId="77777777" w:rsidR="00D91DFB" w:rsidRPr="00D22957" w:rsidRDefault="00703DB8" w:rsidP="00D22957">
            <w:hyperlink r:id="rId11" w:history="1">
              <w:r w:rsidR="00D91DFB" w:rsidRPr="00D22957">
                <w:rPr>
                  <w:rStyle w:val="Hyperlink"/>
                </w:rPr>
                <w:t>https://doi.org/10.1017/S0014479719000280</w:t>
              </w:r>
            </w:hyperlink>
          </w:p>
          <w:p w14:paraId="41777C24" w14:textId="77777777" w:rsidR="00D91DFB" w:rsidRPr="00D22957" w:rsidRDefault="00D91DFB" w:rsidP="00D22957"/>
          <w:p w14:paraId="18535581" w14:textId="77777777" w:rsidR="00D91DFB" w:rsidRPr="00D22957" w:rsidRDefault="00D91DFB" w:rsidP="00D22957"/>
          <w:p w14:paraId="21B45E42" w14:textId="0C75F89C" w:rsidR="00D91DFB" w:rsidRPr="00505073" w:rsidRDefault="00D91DFB" w:rsidP="00C7256D">
            <w:pPr>
              <w:rPr>
                <w:rFonts w:asciiTheme="majorHAnsi" w:hAnsiTheme="majorHAnsi" w:cstheme="majorHAnsi"/>
                <w:sz w:val="20"/>
                <w:szCs w:val="20"/>
              </w:rPr>
            </w:pPr>
          </w:p>
        </w:tc>
      </w:tr>
      <w:tr w:rsidR="00C7256D" w:rsidRPr="009F63C7" w14:paraId="1C5666C4" w14:textId="77777777" w:rsidTr="00703DB8">
        <w:trPr>
          <w:trHeight w:val="263"/>
        </w:trPr>
        <w:tc>
          <w:tcPr>
            <w:tcW w:w="319" w:type="pct"/>
            <w:tcBorders>
              <w:top w:val="single" w:sz="4" w:space="0" w:color="auto"/>
              <w:bottom w:val="single" w:sz="4" w:space="0" w:color="auto"/>
              <w:right w:val="single" w:sz="4" w:space="0" w:color="auto"/>
            </w:tcBorders>
            <w:shd w:val="clear" w:color="auto" w:fill="E2EFD9" w:themeFill="accent6" w:themeFillTint="33"/>
            <w:tcMar>
              <w:top w:w="100" w:type="dxa"/>
              <w:left w:w="100" w:type="dxa"/>
              <w:bottom w:w="100" w:type="dxa"/>
              <w:right w:w="100" w:type="dxa"/>
            </w:tcMar>
          </w:tcPr>
          <w:p w14:paraId="767926DA" w14:textId="16993C05" w:rsidR="00C7256D" w:rsidRPr="009F63C7" w:rsidRDefault="00C7256D" w:rsidP="00C7256D">
            <w:pPr>
              <w:rPr>
                <w:rFonts w:asciiTheme="majorHAnsi" w:hAnsiTheme="majorHAnsi" w:cstheme="majorHAnsi"/>
              </w:rPr>
            </w:pPr>
            <w:r>
              <w:rPr>
                <w:rFonts w:asciiTheme="majorHAnsi" w:hAnsiTheme="majorHAnsi" w:cstheme="majorHAnsi"/>
              </w:rPr>
              <w:lastRenderedPageBreak/>
              <w:t>3</w:t>
            </w:r>
          </w:p>
        </w:tc>
        <w:tc>
          <w:tcPr>
            <w:tcW w:w="44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100" w:type="dxa"/>
              <w:left w:w="100" w:type="dxa"/>
              <w:bottom w:w="100" w:type="dxa"/>
              <w:right w:w="100" w:type="dxa"/>
            </w:tcMar>
            <w:vAlign w:val="center"/>
          </w:tcPr>
          <w:p w14:paraId="20D46039" w14:textId="2D1646B8" w:rsidR="00C7256D" w:rsidRPr="009F63C7" w:rsidRDefault="00C7256D" w:rsidP="00C7256D">
            <w:pPr>
              <w:ind w:right="100"/>
              <w:rPr>
                <w:rFonts w:asciiTheme="majorHAnsi" w:hAnsiTheme="majorHAnsi" w:cstheme="majorHAnsi"/>
              </w:rPr>
            </w:pPr>
            <w:r>
              <w:rPr>
                <w:rFonts w:ascii="Calibri" w:hAnsi="Calibri" w:cs="Calibri"/>
                <w:sz w:val="20"/>
                <w:szCs w:val="20"/>
              </w:rPr>
              <w:t>FP3.O2. Cropping systems sustainably intensified and diversified</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0E7C3B42" w14:textId="16DDFD1F" w:rsidR="00C7256D" w:rsidRPr="009F63C7" w:rsidRDefault="00C7256D" w:rsidP="00C7256D">
            <w:pPr>
              <w:ind w:right="100"/>
              <w:rPr>
                <w:rFonts w:asciiTheme="majorHAnsi" w:hAnsiTheme="majorHAnsi" w:cstheme="majorHAnsi"/>
                <w:highlight w:val="white"/>
              </w:rPr>
            </w:pPr>
            <w:r>
              <w:rPr>
                <w:rFonts w:ascii="Calibri" w:hAnsi="Calibri" w:cs="Calibri"/>
                <w:sz w:val="20"/>
                <w:szCs w:val="20"/>
              </w:rPr>
              <w:t>Increased resilience of agro-ecosystems and communities, especially those including smallholders</w:t>
            </w:r>
          </w:p>
        </w:tc>
        <w:tc>
          <w:tcPr>
            <w:tcW w:w="373"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FA1091" w14:textId="6B7014C5" w:rsidR="00C7256D" w:rsidRPr="009F63C7" w:rsidRDefault="00C7256D" w:rsidP="00C7256D">
            <w:pPr>
              <w:ind w:right="100"/>
              <w:rPr>
                <w:rFonts w:asciiTheme="majorHAnsi" w:hAnsiTheme="majorHAnsi" w:cstheme="majorHAnsi"/>
                <w:highlight w:val="white"/>
              </w:rPr>
            </w:pPr>
          </w:p>
        </w:tc>
        <w:tc>
          <w:tcPr>
            <w:tcW w:w="505" w:type="pct"/>
            <w:tcBorders>
              <w:top w:val="single" w:sz="4" w:space="0" w:color="auto"/>
              <w:left w:val="single" w:sz="4" w:space="0" w:color="auto"/>
              <w:bottom w:val="single" w:sz="4" w:space="0" w:color="auto"/>
            </w:tcBorders>
            <w:shd w:val="clear" w:color="auto" w:fill="D9EAD3"/>
            <w:tcMar>
              <w:top w:w="100" w:type="dxa"/>
              <w:left w:w="100" w:type="dxa"/>
              <w:bottom w:w="100" w:type="dxa"/>
              <w:right w:w="100" w:type="dxa"/>
            </w:tcMar>
            <w:vAlign w:val="center"/>
          </w:tcPr>
          <w:p w14:paraId="6A5A705A" w14:textId="12EA7799" w:rsidR="00C7256D" w:rsidRPr="009F63C7" w:rsidRDefault="00C7256D" w:rsidP="00C7256D">
            <w:pPr>
              <w:ind w:right="100"/>
              <w:rPr>
                <w:rFonts w:asciiTheme="majorHAnsi" w:hAnsiTheme="majorHAnsi" w:cstheme="majorHAnsi"/>
              </w:rPr>
            </w:pPr>
            <w:r>
              <w:rPr>
                <w:rFonts w:ascii="Calibri" w:hAnsi="Calibri" w:cs="Calibri"/>
                <w:color w:val="000000"/>
                <w:sz w:val="20"/>
                <w:szCs w:val="20"/>
              </w:rPr>
              <w:t>At least two options per site per country to promote diversified, profitable and sustainable crop livestock systems discussed and agreed upon with local communities and researchers</w:t>
            </w:r>
          </w:p>
        </w:tc>
        <w:tc>
          <w:tcPr>
            <w:tcW w:w="379" w:type="pct"/>
            <w:shd w:val="clear" w:color="auto" w:fill="FFFFFF"/>
            <w:tcMar>
              <w:top w:w="100" w:type="dxa"/>
              <w:left w:w="100" w:type="dxa"/>
              <w:bottom w:w="100" w:type="dxa"/>
              <w:right w:w="100" w:type="dxa"/>
            </w:tcMar>
          </w:tcPr>
          <w:p w14:paraId="2A951931" w14:textId="4CE1CF32" w:rsidR="00C7256D" w:rsidRPr="00571CB7" w:rsidRDefault="00804D66" w:rsidP="00C7256D">
            <w:pPr>
              <w:rPr>
                <w:rFonts w:asciiTheme="minorHAnsi" w:hAnsiTheme="minorHAnsi" w:cstheme="minorHAnsi"/>
                <w:sz w:val="20"/>
                <w:szCs w:val="20"/>
              </w:rPr>
            </w:pPr>
            <w:r w:rsidRPr="00571CB7">
              <w:rPr>
                <w:rFonts w:asciiTheme="minorHAnsi" w:hAnsiTheme="minorHAnsi" w:cstheme="minorHAnsi"/>
                <w:sz w:val="20"/>
                <w:szCs w:val="20"/>
              </w:rPr>
              <w:t>Complete</w:t>
            </w:r>
          </w:p>
        </w:tc>
        <w:tc>
          <w:tcPr>
            <w:tcW w:w="552" w:type="pct"/>
            <w:shd w:val="clear" w:color="auto" w:fill="FFFFFF"/>
            <w:tcMar>
              <w:top w:w="100" w:type="dxa"/>
              <w:left w:w="100" w:type="dxa"/>
              <w:bottom w:w="100" w:type="dxa"/>
              <w:right w:w="100" w:type="dxa"/>
            </w:tcMar>
          </w:tcPr>
          <w:p w14:paraId="34F4473D" w14:textId="76CEAFDF" w:rsidR="00C7256D" w:rsidRPr="00571CB7" w:rsidRDefault="00B20629" w:rsidP="00C7256D">
            <w:pPr>
              <w:rPr>
                <w:rFonts w:asciiTheme="minorHAnsi" w:hAnsiTheme="minorHAnsi" w:cstheme="minorHAnsi"/>
                <w:sz w:val="20"/>
                <w:szCs w:val="20"/>
              </w:rPr>
            </w:pPr>
            <w:r w:rsidRPr="00571CB7">
              <w:rPr>
                <w:rFonts w:asciiTheme="minorHAnsi" w:hAnsiTheme="minorHAnsi" w:cstheme="minorHAnsi"/>
                <w:sz w:val="20"/>
                <w:szCs w:val="20"/>
              </w:rPr>
              <w:t>At least two intercropping systems tested in India, M</w:t>
            </w:r>
            <w:r w:rsidR="00591DB3" w:rsidRPr="00571CB7">
              <w:rPr>
                <w:rFonts w:asciiTheme="minorHAnsi" w:hAnsiTheme="minorHAnsi" w:cstheme="minorHAnsi"/>
                <w:sz w:val="20"/>
                <w:szCs w:val="20"/>
              </w:rPr>
              <w:t>o</w:t>
            </w:r>
            <w:r w:rsidRPr="00571CB7">
              <w:rPr>
                <w:rFonts w:asciiTheme="minorHAnsi" w:hAnsiTheme="minorHAnsi" w:cstheme="minorHAnsi"/>
                <w:sz w:val="20"/>
                <w:szCs w:val="20"/>
              </w:rPr>
              <w:t xml:space="preserve">zambique, Malawi, </w:t>
            </w:r>
            <w:r w:rsidR="00551CAD" w:rsidRPr="00571CB7">
              <w:rPr>
                <w:rFonts w:asciiTheme="minorHAnsi" w:hAnsiTheme="minorHAnsi" w:cstheme="minorHAnsi"/>
                <w:sz w:val="20"/>
                <w:szCs w:val="20"/>
              </w:rPr>
              <w:t xml:space="preserve">Uganda, </w:t>
            </w:r>
            <w:r w:rsidRPr="00571CB7">
              <w:rPr>
                <w:rFonts w:asciiTheme="minorHAnsi" w:hAnsiTheme="minorHAnsi" w:cstheme="minorHAnsi"/>
                <w:sz w:val="20"/>
                <w:szCs w:val="20"/>
              </w:rPr>
              <w:t>Burkina Faso, Senegal</w:t>
            </w:r>
          </w:p>
        </w:tc>
        <w:tc>
          <w:tcPr>
            <w:tcW w:w="1997" w:type="pct"/>
            <w:shd w:val="clear" w:color="auto" w:fill="FFFFFF"/>
          </w:tcPr>
          <w:p w14:paraId="4BC98A44" w14:textId="0DCA4173" w:rsidR="00E624F4" w:rsidRDefault="00703DB8" w:rsidP="00C7256D">
            <w:pPr>
              <w:rPr>
                <w:rStyle w:val="Hyperlink"/>
              </w:rPr>
            </w:pPr>
            <w:hyperlink r:id="rId12" w:history="1">
              <w:r w:rsidR="00E624F4" w:rsidRPr="00C82530">
                <w:rPr>
                  <w:rStyle w:val="Hyperlink"/>
                </w:rPr>
                <w:t>https://pub.epsilon.slu.se/16308/7/muoni_t_190903.pdf</w:t>
              </w:r>
            </w:hyperlink>
          </w:p>
          <w:p w14:paraId="60A91AE3" w14:textId="52795121" w:rsidR="00E624F4" w:rsidRDefault="00703DB8" w:rsidP="00C7256D">
            <w:pPr>
              <w:rPr>
                <w:rStyle w:val="Hyperlink"/>
                <w:sz w:val="20"/>
                <w:szCs w:val="20"/>
                <w:lang w:val="sv-SE"/>
              </w:rPr>
            </w:pPr>
            <w:hyperlink r:id="rId13" w:history="1">
              <w:r w:rsidR="00E624F4" w:rsidRPr="003B3007">
                <w:rPr>
                  <w:rStyle w:val="Hyperlink"/>
                  <w:sz w:val="20"/>
                  <w:szCs w:val="20"/>
                  <w:lang w:val="sv-SE"/>
                </w:rPr>
                <w:t>https://</w:t>
              </w:r>
            </w:hyperlink>
            <w:hyperlink r:id="rId14" w:history="1">
              <w:r w:rsidR="00E624F4" w:rsidRPr="003B3007">
                <w:rPr>
                  <w:rStyle w:val="Hyperlink"/>
                  <w:sz w:val="20"/>
                  <w:szCs w:val="20"/>
                  <w:lang w:val="sv-SE"/>
                </w:rPr>
                <w:t>pub.epsilon.slu.se/16153/7/mukangango_m_190517.pdf</w:t>
              </w:r>
            </w:hyperlink>
          </w:p>
          <w:p w14:paraId="35DA2F5B" w14:textId="0E578171" w:rsidR="00E624F4" w:rsidRDefault="00703DB8" w:rsidP="00C7256D">
            <w:pPr>
              <w:rPr>
                <w:rStyle w:val="Hyperlink"/>
                <w:rFonts w:eastAsiaTheme="majorEastAsia"/>
                <w:color w:val="4472C4" w:themeColor="accent1"/>
                <w:sz w:val="20"/>
                <w:szCs w:val="20"/>
              </w:rPr>
            </w:pPr>
            <w:hyperlink r:id="rId15" w:history="1">
              <w:r w:rsidR="00E624F4" w:rsidRPr="00E624F4">
                <w:rPr>
                  <w:rStyle w:val="Hyperlink"/>
                  <w:rFonts w:eastAsiaTheme="majorEastAsia"/>
                  <w:color w:val="4472C4" w:themeColor="accent1"/>
                  <w:sz w:val="20"/>
                  <w:szCs w:val="20"/>
                </w:rPr>
                <w:t>https://</w:t>
              </w:r>
            </w:hyperlink>
            <w:hyperlink r:id="rId16" w:history="1">
              <w:r w:rsidR="00E624F4" w:rsidRPr="00E624F4">
                <w:rPr>
                  <w:rStyle w:val="Hyperlink"/>
                  <w:rFonts w:eastAsiaTheme="majorEastAsia"/>
                  <w:color w:val="4472C4" w:themeColor="accent1"/>
                  <w:sz w:val="20"/>
                  <w:szCs w:val="20"/>
                </w:rPr>
                <w:t>doi.org/10.1007/s10457-019-00455-8</w:t>
              </w:r>
            </w:hyperlink>
          </w:p>
          <w:p w14:paraId="377F7EA3" w14:textId="3129F1A2" w:rsidR="00F74B77" w:rsidRDefault="00703DB8" w:rsidP="00C7256D">
            <w:pPr>
              <w:rPr>
                <w:rStyle w:val="Hyperlink"/>
                <w:rFonts w:eastAsiaTheme="majorEastAsia"/>
              </w:rPr>
            </w:pPr>
            <w:hyperlink r:id="rId17" w:history="1">
              <w:r w:rsidR="00F74B77">
                <w:rPr>
                  <w:rStyle w:val="Hyperlink"/>
                  <w:rFonts w:eastAsiaTheme="majorEastAsia"/>
                </w:rPr>
                <w:t>https://mel.cgiar.org/reporting/report/id/6969/del_id/14401</w:t>
              </w:r>
            </w:hyperlink>
          </w:p>
          <w:p w14:paraId="7B12D192" w14:textId="77777777" w:rsidR="00987382" w:rsidRPr="00D22957" w:rsidRDefault="00703DB8" w:rsidP="00987382">
            <w:hyperlink r:id="rId18" w:history="1">
              <w:r w:rsidR="00987382" w:rsidRPr="00D22957">
                <w:rPr>
                  <w:rStyle w:val="Hyperlink"/>
                  <w:rFonts w:eastAsiaTheme="majorEastAsia"/>
                </w:rPr>
                <w:t>https://mel.cgiar.org/reporting/report/id/6933/del_id/19917</w:t>
              </w:r>
            </w:hyperlink>
          </w:p>
          <w:p w14:paraId="3C8AE0D1" w14:textId="77777777" w:rsidR="008B4E77" w:rsidRDefault="00703DB8" w:rsidP="00C7256D">
            <w:hyperlink r:id="rId19" w:history="1">
              <w:r w:rsidR="008B4E77">
                <w:rPr>
                  <w:rStyle w:val="Hyperlink"/>
                  <w:rFonts w:eastAsiaTheme="majorEastAsia"/>
                </w:rPr>
                <w:t>https://mel.cgiar.org/reporting/report/type/crp/id/6959/del_id/19893</w:t>
              </w:r>
            </w:hyperlink>
          </w:p>
          <w:p w14:paraId="7CD0907B" w14:textId="77777777" w:rsidR="00336FF4" w:rsidRDefault="00703DB8" w:rsidP="00C7256D">
            <w:hyperlink r:id="rId20" w:history="1">
              <w:r w:rsidR="00336FF4">
                <w:rPr>
                  <w:rStyle w:val="Hyperlink"/>
                  <w:rFonts w:eastAsiaTheme="majorEastAsia"/>
                </w:rPr>
                <w:t>https://mel.cgiar.org/reporting/outputsreport/id/7620</w:t>
              </w:r>
            </w:hyperlink>
          </w:p>
          <w:p w14:paraId="480B0468" w14:textId="77777777" w:rsidR="00336FF4" w:rsidRDefault="00703DB8" w:rsidP="00C7256D">
            <w:hyperlink r:id="rId21" w:history="1">
              <w:r w:rsidR="00336FF4">
                <w:rPr>
                  <w:rStyle w:val="Hyperlink"/>
                  <w:rFonts w:eastAsiaTheme="majorEastAsia"/>
                </w:rPr>
                <w:t>https://mel.cgiar.org/reporting/report/id/6938/del_id/15091</w:t>
              </w:r>
            </w:hyperlink>
          </w:p>
          <w:p w14:paraId="1A5DD238" w14:textId="4BADDC03" w:rsidR="00336FF4" w:rsidRPr="00505073" w:rsidRDefault="00703DB8" w:rsidP="00C7256D">
            <w:pPr>
              <w:rPr>
                <w:rFonts w:asciiTheme="majorHAnsi" w:hAnsiTheme="majorHAnsi" w:cstheme="majorHAnsi"/>
                <w:sz w:val="20"/>
                <w:szCs w:val="20"/>
              </w:rPr>
            </w:pPr>
            <w:hyperlink r:id="rId22" w:history="1">
              <w:r w:rsidR="00336FF4">
                <w:rPr>
                  <w:rStyle w:val="Hyperlink"/>
                  <w:rFonts w:eastAsiaTheme="majorEastAsia"/>
                </w:rPr>
                <w:t>https://mel.cgiar.org/reporting/report/id/7621/del_id/15092</w:t>
              </w:r>
            </w:hyperlink>
          </w:p>
        </w:tc>
      </w:tr>
      <w:tr w:rsidR="00C7256D" w:rsidRPr="009F63C7" w14:paraId="45393B97" w14:textId="77777777" w:rsidTr="00703DB8">
        <w:trPr>
          <w:trHeight w:val="263"/>
        </w:trPr>
        <w:tc>
          <w:tcPr>
            <w:tcW w:w="319" w:type="pct"/>
            <w:tcBorders>
              <w:top w:val="single" w:sz="4" w:space="0" w:color="auto"/>
              <w:bottom w:val="single" w:sz="4" w:space="0" w:color="auto"/>
              <w:right w:val="single" w:sz="4" w:space="0" w:color="auto"/>
            </w:tcBorders>
            <w:shd w:val="clear" w:color="auto" w:fill="E2EFD9" w:themeFill="accent6" w:themeFillTint="33"/>
            <w:tcMar>
              <w:top w:w="100" w:type="dxa"/>
              <w:left w:w="100" w:type="dxa"/>
              <w:bottom w:w="100" w:type="dxa"/>
              <w:right w:w="100" w:type="dxa"/>
            </w:tcMar>
          </w:tcPr>
          <w:p w14:paraId="3C7BC9D0" w14:textId="0FA05852" w:rsidR="00C7256D" w:rsidRPr="009F63C7" w:rsidRDefault="00C7256D" w:rsidP="00C7256D">
            <w:pPr>
              <w:rPr>
                <w:rFonts w:asciiTheme="majorHAnsi" w:hAnsiTheme="majorHAnsi" w:cstheme="majorHAnsi"/>
              </w:rPr>
            </w:pPr>
            <w:r>
              <w:rPr>
                <w:rFonts w:asciiTheme="majorHAnsi" w:hAnsiTheme="majorHAnsi" w:cstheme="majorHAnsi"/>
              </w:rPr>
              <w:t>3</w:t>
            </w:r>
          </w:p>
        </w:tc>
        <w:tc>
          <w:tcPr>
            <w:tcW w:w="44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100" w:type="dxa"/>
              <w:left w:w="100" w:type="dxa"/>
              <w:bottom w:w="100" w:type="dxa"/>
              <w:right w:w="100" w:type="dxa"/>
            </w:tcMar>
            <w:vAlign w:val="center"/>
          </w:tcPr>
          <w:p w14:paraId="73FA0980" w14:textId="4FC80CF4" w:rsidR="00C7256D" w:rsidRPr="009F63C7" w:rsidRDefault="00C7256D" w:rsidP="00C7256D">
            <w:pPr>
              <w:ind w:right="100"/>
              <w:rPr>
                <w:rFonts w:asciiTheme="majorHAnsi" w:hAnsiTheme="majorHAnsi" w:cstheme="majorHAnsi"/>
              </w:rPr>
            </w:pPr>
            <w:r>
              <w:rPr>
                <w:rFonts w:ascii="Calibri" w:hAnsi="Calibri" w:cs="Calibri"/>
                <w:sz w:val="20"/>
                <w:szCs w:val="20"/>
              </w:rPr>
              <w:t>FP3.O2. Cropping systems sustainably intensified and diversified</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5A4B64A4" w14:textId="5D443D64" w:rsidR="00C7256D" w:rsidRPr="009F63C7" w:rsidRDefault="00C7256D" w:rsidP="00C7256D">
            <w:pPr>
              <w:ind w:right="100"/>
              <w:rPr>
                <w:rFonts w:asciiTheme="majorHAnsi" w:hAnsiTheme="majorHAnsi" w:cstheme="majorHAnsi"/>
                <w:highlight w:val="white"/>
              </w:rPr>
            </w:pPr>
            <w:r>
              <w:rPr>
                <w:rFonts w:ascii="Calibri" w:hAnsi="Calibri" w:cs="Calibri"/>
                <w:sz w:val="20"/>
                <w:szCs w:val="20"/>
              </w:rPr>
              <w:t>Increased resilience of agro-ecosystems and communities, especially those including smallholders</w:t>
            </w:r>
          </w:p>
        </w:tc>
        <w:tc>
          <w:tcPr>
            <w:tcW w:w="373"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960CC36" w14:textId="45D9CD37" w:rsidR="00C7256D" w:rsidRPr="009F63C7" w:rsidRDefault="00C7256D" w:rsidP="00C7256D">
            <w:pPr>
              <w:ind w:right="100"/>
              <w:rPr>
                <w:rFonts w:asciiTheme="majorHAnsi" w:hAnsiTheme="majorHAnsi" w:cstheme="majorHAnsi"/>
                <w:highlight w:val="white"/>
              </w:rPr>
            </w:pPr>
          </w:p>
        </w:tc>
        <w:tc>
          <w:tcPr>
            <w:tcW w:w="505" w:type="pct"/>
            <w:tcBorders>
              <w:top w:val="single" w:sz="4" w:space="0" w:color="auto"/>
              <w:left w:val="single" w:sz="4" w:space="0" w:color="auto"/>
              <w:bottom w:val="single" w:sz="4" w:space="0" w:color="auto"/>
            </w:tcBorders>
            <w:shd w:val="clear" w:color="auto" w:fill="D9EAD3"/>
            <w:tcMar>
              <w:top w:w="100" w:type="dxa"/>
              <w:left w:w="100" w:type="dxa"/>
              <w:bottom w:w="100" w:type="dxa"/>
              <w:right w:w="100" w:type="dxa"/>
            </w:tcMar>
            <w:vAlign w:val="center"/>
          </w:tcPr>
          <w:p w14:paraId="3186E4EC" w14:textId="47FAF2E9" w:rsidR="00C7256D" w:rsidRPr="009F63C7" w:rsidRDefault="00C7256D" w:rsidP="00C7256D">
            <w:pPr>
              <w:ind w:right="100"/>
              <w:rPr>
                <w:rFonts w:asciiTheme="majorHAnsi" w:hAnsiTheme="majorHAnsi" w:cstheme="majorHAnsi"/>
              </w:rPr>
            </w:pPr>
            <w:r>
              <w:rPr>
                <w:rFonts w:ascii="Calibri" w:hAnsi="Calibri" w:cs="Calibri"/>
                <w:sz w:val="20"/>
                <w:szCs w:val="20"/>
              </w:rPr>
              <w:t xml:space="preserve">Ex-post impacts of innovation practices on crop production efficiency and household livelihoods measured </w:t>
            </w:r>
          </w:p>
        </w:tc>
        <w:tc>
          <w:tcPr>
            <w:tcW w:w="379" w:type="pct"/>
            <w:shd w:val="clear" w:color="auto" w:fill="FFFFFF"/>
            <w:tcMar>
              <w:top w:w="100" w:type="dxa"/>
              <w:left w:w="100" w:type="dxa"/>
              <w:bottom w:w="100" w:type="dxa"/>
              <w:right w:w="100" w:type="dxa"/>
            </w:tcMar>
          </w:tcPr>
          <w:p w14:paraId="1F08F925" w14:textId="76DBC8E9" w:rsidR="00C7256D" w:rsidRPr="00571CB7" w:rsidRDefault="00A45B13" w:rsidP="00C7256D">
            <w:pPr>
              <w:rPr>
                <w:rFonts w:asciiTheme="minorHAnsi" w:hAnsiTheme="minorHAnsi" w:cstheme="minorHAnsi"/>
                <w:sz w:val="20"/>
                <w:szCs w:val="20"/>
              </w:rPr>
            </w:pPr>
            <w:r w:rsidRPr="00571CB7">
              <w:rPr>
                <w:rFonts w:asciiTheme="minorHAnsi" w:hAnsiTheme="minorHAnsi" w:cstheme="minorHAnsi"/>
                <w:sz w:val="20"/>
                <w:szCs w:val="20"/>
              </w:rPr>
              <w:t>Complete</w:t>
            </w:r>
          </w:p>
        </w:tc>
        <w:tc>
          <w:tcPr>
            <w:tcW w:w="552" w:type="pct"/>
            <w:shd w:val="clear" w:color="auto" w:fill="FFFFFF"/>
            <w:tcMar>
              <w:top w:w="100" w:type="dxa"/>
              <w:left w:w="100" w:type="dxa"/>
              <w:bottom w:w="100" w:type="dxa"/>
              <w:right w:w="100" w:type="dxa"/>
            </w:tcMar>
          </w:tcPr>
          <w:p w14:paraId="364AB7E4" w14:textId="70165FB0" w:rsidR="00C7256D" w:rsidRPr="00571CB7" w:rsidRDefault="00A45B13" w:rsidP="00C7256D">
            <w:pPr>
              <w:rPr>
                <w:rFonts w:asciiTheme="minorHAnsi" w:hAnsiTheme="minorHAnsi" w:cstheme="minorHAnsi"/>
                <w:sz w:val="20"/>
                <w:szCs w:val="20"/>
              </w:rPr>
            </w:pPr>
            <w:r w:rsidRPr="00571CB7">
              <w:rPr>
                <w:rFonts w:asciiTheme="minorHAnsi" w:hAnsiTheme="minorHAnsi" w:cstheme="minorHAnsi"/>
                <w:sz w:val="20"/>
                <w:szCs w:val="20"/>
                <w:lang w:val="en-GB"/>
              </w:rPr>
              <w:t xml:space="preserve">Surveys </w:t>
            </w:r>
            <w:r w:rsidRPr="00571CB7">
              <w:rPr>
                <w:rFonts w:asciiTheme="minorHAnsi" w:hAnsiTheme="minorHAnsi" w:cstheme="minorHAnsi"/>
                <w:sz w:val="20"/>
                <w:szCs w:val="20"/>
              </w:rPr>
              <w:t>have been completed for impacts of legume-based technological interventions on smallholder production and livelihood performance in Burkina Faso and Ethiopia</w:t>
            </w:r>
          </w:p>
        </w:tc>
        <w:tc>
          <w:tcPr>
            <w:tcW w:w="1997" w:type="pct"/>
            <w:shd w:val="clear" w:color="auto" w:fill="FFFFFF"/>
          </w:tcPr>
          <w:p w14:paraId="77D83F36" w14:textId="72B6B599" w:rsidR="00E60B1B" w:rsidRPr="004D45E2" w:rsidRDefault="00703DB8" w:rsidP="004D45E2">
            <w:hyperlink r:id="rId23" w:history="1">
              <w:r w:rsidR="00E60B1B" w:rsidRPr="004D45E2">
                <w:rPr>
                  <w:rStyle w:val="Hyperlink"/>
                  <w:rFonts w:eastAsiaTheme="majorEastAsia"/>
                </w:rPr>
                <w:t>https://hdl.handle.net/20.500.11766/8815</w:t>
              </w:r>
            </w:hyperlink>
          </w:p>
          <w:p w14:paraId="21352325" w14:textId="66619E39" w:rsidR="002566CC" w:rsidRPr="004D45E2" w:rsidRDefault="00703DB8" w:rsidP="004D45E2">
            <w:hyperlink r:id="rId24" w:history="1">
              <w:r w:rsidR="002566CC" w:rsidRPr="004D45E2">
                <w:rPr>
                  <w:rStyle w:val="Hyperlink"/>
                  <w:rFonts w:eastAsiaTheme="majorEastAsia"/>
                </w:rPr>
                <w:t>https://hdl.handle.net/20.500.11766/8901</w:t>
              </w:r>
            </w:hyperlink>
            <w:r w:rsidR="002566CC" w:rsidRPr="004D45E2">
              <w:t xml:space="preserve"> </w:t>
            </w:r>
          </w:p>
          <w:p w14:paraId="05504012" w14:textId="77777777" w:rsidR="00F74B77" w:rsidRPr="004D45E2" w:rsidRDefault="00703DB8" w:rsidP="004D45E2">
            <w:hyperlink r:id="rId25" w:history="1">
              <w:r w:rsidR="00F74B77" w:rsidRPr="004D45E2">
                <w:rPr>
                  <w:rStyle w:val="Hyperlink"/>
                  <w:rFonts w:eastAsiaTheme="majorEastAsia"/>
                </w:rPr>
                <w:t>https://hdl.handle.net/20.500.11766/9551</w:t>
              </w:r>
            </w:hyperlink>
            <w:r w:rsidR="00F74B77" w:rsidRPr="004D45E2">
              <w:t xml:space="preserve"> </w:t>
            </w:r>
          </w:p>
          <w:p w14:paraId="6B7D6930" w14:textId="4F20E26D" w:rsidR="00E60B1B" w:rsidRPr="0074375B" w:rsidRDefault="00703DB8" w:rsidP="00C7256D">
            <w:pPr>
              <w:rPr>
                <w:rFonts w:asciiTheme="majorHAnsi" w:hAnsiTheme="majorHAnsi" w:cstheme="majorHAnsi"/>
                <w:sz w:val="20"/>
                <w:szCs w:val="20"/>
              </w:rPr>
            </w:pPr>
            <w:hyperlink r:id="rId26" w:history="1">
              <w:r w:rsidR="003027D0" w:rsidRPr="003027D0">
                <w:rPr>
                  <w:rStyle w:val="Hyperlink"/>
                </w:rPr>
                <w:t>https://dx.doi.org/20.500.11766/9512</w:t>
              </w:r>
            </w:hyperlink>
          </w:p>
        </w:tc>
      </w:tr>
      <w:tr w:rsidR="00C7256D" w:rsidRPr="009F63C7" w14:paraId="592F89BC" w14:textId="77777777" w:rsidTr="00703DB8">
        <w:trPr>
          <w:trHeight w:val="263"/>
        </w:trPr>
        <w:tc>
          <w:tcPr>
            <w:tcW w:w="319" w:type="pct"/>
            <w:tcBorders>
              <w:top w:val="single" w:sz="4" w:space="0" w:color="auto"/>
              <w:bottom w:val="single" w:sz="4" w:space="0" w:color="auto"/>
              <w:right w:val="single" w:sz="4" w:space="0" w:color="auto"/>
            </w:tcBorders>
            <w:shd w:val="clear" w:color="auto" w:fill="E2EFD9" w:themeFill="accent6" w:themeFillTint="33"/>
            <w:tcMar>
              <w:top w:w="100" w:type="dxa"/>
              <w:left w:w="100" w:type="dxa"/>
              <w:bottom w:w="100" w:type="dxa"/>
              <w:right w:w="100" w:type="dxa"/>
            </w:tcMar>
          </w:tcPr>
          <w:p w14:paraId="3F1338D3" w14:textId="156906BA" w:rsidR="00C7256D" w:rsidRPr="009F63C7" w:rsidRDefault="00C7256D" w:rsidP="00C7256D">
            <w:pPr>
              <w:rPr>
                <w:rFonts w:asciiTheme="majorHAnsi" w:hAnsiTheme="majorHAnsi" w:cstheme="majorHAnsi"/>
              </w:rPr>
            </w:pPr>
            <w:r>
              <w:rPr>
                <w:rFonts w:asciiTheme="majorHAnsi" w:hAnsiTheme="majorHAnsi" w:cstheme="majorHAnsi"/>
              </w:rPr>
              <w:t>3</w:t>
            </w:r>
          </w:p>
        </w:tc>
        <w:tc>
          <w:tcPr>
            <w:tcW w:w="44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100" w:type="dxa"/>
              <w:left w:w="100" w:type="dxa"/>
              <w:bottom w:w="100" w:type="dxa"/>
              <w:right w:w="100" w:type="dxa"/>
            </w:tcMar>
            <w:vAlign w:val="center"/>
          </w:tcPr>
          <w:p w14:paraId="5F77BD02" w14:textId="428F6DD5" w:rsidR="00C7256D" w:rsidRPr="009F63C7" w:rsidRDefault="00C7256D" w:rsidP="00C7256D">
            <w:pPr>
              <w:ind w:right="100"/>
              <w:rPr>
                <w:rFonts w:asciiTheme="majorHAnsi" w:hAnsiTheme="majorHAnsi" w:cstheme="majorHAnsi"/>
              </w:rPr>
            </w:pPr>
            <w:r>
              <w:rPr>
                <w:rFonts w:ascii="Calibri" w:hAnsi="Calibri" w:cs="Calibri"/>
                <w:sz w:val="20"/>
                <w:szCs w:val="20"/>
              </w:rPr>
              <w:t xml:space="preserve">FP3.O2. Cropping systems sustainably intensified </w:t>
            </w:r>
            <w:r>
              <w:rPr>
                <w:rFonts w:ascii="Calibri" w:hAnsi="Calibri" w:cs="Calibri"/>
                <w:sz w:val="20"/>
                <w:szCs w:val="20"/>
              </w:rPr>
              <w:lastRenderedPageBreak/>
              <w:t>and diversified</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0F9AE513" w14:textId="1DF408D6" w:rsidR="00C7256D" w:rsidRPr="009F63C7" w:rsidRDefault="00C7256D" w:rsidP="00C7256D">
            <w:pPr>
              <w:ind w:right="100"/>
              <w:rPr>
                <w:rFonts w:asciiTheme="majorHAnsi" w:hAnsiTheme="majorHAnsi" w:cstheme="majorHAnsi"/>
                <w:highlight w:val="white"/>
              </w:rPr>
            </w:pPr>
            <w:r>
              <w:rPr>
                <w:rFonts w:ascii="Calibri" w:hAnsi="Calibri" w:cs="Calibri"/>
                <w:sz w:val="20"/>
                <w:szCs w:val="20"/>
              </w:rPr>
              <w:lastRenderedPageBreak/>
              <w:t xml:space="preserve">Increased resilience of agro-ecosystems and </w:t>
            </w:r>
            <w:r>
              <w:rPr>
                <w:rFonts w:ascii="Calibri" w:hAnsi="Calibri" w:cs="Calibri"/>
                <w:sz w:val="20"/>
                <w:szCs w:val="20"/>
              </w:rPr>
              <w:lastRenderedPageBreak/>
              <w:t>communities, especially those including smallholders</w:t>
            </w:r>
          </w:p>
        </w:tc>
        <w:tc>
          <w:tcPr>
            <w:tcW w:w="373"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452BA3B" w14:textId="4FA2965D" w:rsidR="00C7256D" w:rsidRPr="009F63C7" w:rsidRDefault="00C7256D" w:rsidP="00C7256D">
            <w:pPr>
              <w:ind w:right="100"/>
              <w:rPr>
                <w:rFonts w:asciiTheme="majorHAnsi" w:hAnsiTheme="majorHAnsi" w:cstheme="majorHAnsi"/>
                <w:highlight w:val="white"/>
              </w:rPr>
            </w:pPr>
          </w:p>
        </w:tc>
        <w:tc>
          <w:tcPr>
            <w:tcW w:w="505" w:type="pct"/>
            <w:tcBorders>
              <w:top w:val="single" w:sz="4" w:space="0" w:color="auto"/>
              <w:left w:val="single" w:sz="4" w:space="0" w:color="auto"/>
              <w:bottom w:val="single" w:sz="4" w:space="0" w:color="auto"/>
            </w:tcBorders>
            <w:shd w:val="clear" w:color="auto" w:fill="D9EAD3"/>
            <w:tcMar>
              <w:top w:w="100" w:type="dxa"/>
              <w:left w:w="100" w:type="dxa"/>
              <w:bottom w:w="100" w:type="dxa"/>
              <w:right w:w="100" w:type="dxa"/>
            </w:tcMar>
            <w:vAlign w:val="center"/>
          </w:tcPr>
          <w:p w14:paraId="34BF4958" w14:textId="0145B5AE" w:rsidR="00C7256D" w:rsidRPr="009F63C7" w:rsidRDefault="00C7256D" w:rsidP="00C7256D">
            <w:pPr>
              <w:ind w:right="100"/>
              <w:rPr>
                <w:rFonts w:asciiTheme="majorHAnsi" w:hAnsiTheme="majorHAnsi" w:cstheme="majorHAnsi"/>
              </w:rPr>
            </w:pPr>
            <w:r>
              <w:rPr>
                <w:rFonts w:ascii="Calibri" w:hAnsi="Calibri" w:cs="Calibri"/>
                <w:sz w:val="20"/>
                <w:szCs w:val="20"/>
              </w:rPr>
              <w:t xml:space="preserve">Farm-household typologies characterized and </w:t>
            </w:r>
            <w:r>
              <w:rPr>
                <w:rFonts w:ascii="Calibri" w:hAnsi="Calibri" w:cs="Calibri"/>
                <w:sz w:val="20"/>
                <w:szCs w:val="20"/>
              </w:rPr>
              <w:lastRenderedPageBreak/>
              <w:t xml:space="preserve">participatory field trials under smallholder conditions in different cropping systems evaluated for common and type-specific determinants of adoptions of innovations, intensification and diversification options </w:t>
            </w:r>
          </w:p>
        </w:tc>
        <w:tc>
          <w:tcPr>
            <w:tcW w:w="379" w:type="pct"/>
            <w:shd w:val="clear" w:color="auto" w:fill="FFFFFF"/>
            <w:tcMar>
              <w:top w:w="100" w:type="dxa"/>
              <w:left w:w="100" w:type="dxa"/>
              <w:bottom w:w="100" w:type="dxa"/>
              <w:right w:w="100" w:type="dxa"/>
            </w:tcMar>
          </w:tcPr>
          <w:p w14:paraId="296D7BA1" w14:textId="3FCB3632" w:rsidR="00C7256D" w:rsidRPr="00571CB7" w:rsidRDefault="00571CB7" w:rsidP="00C7256D">
            <w:pPr>
              <w:rPr>
                <w:rFonts w:asciiTheme="minorHAnsi" w:hAnsiTheme="minorHAnsi" w:cstheme="minorHAnsi"/>
                <w:sz w:val="20"/>
                <w:szCs w:val="20"/>
              </w:rPr>
            </w:pPr>
            <w:r w:rsidRPr="00571CB7">
              <w:rPr>
                <w:rFonts w:asciiTheme="minorHAnsi" w:hAnsiTheme="minorHAnsi" w:cstheme="minorHAnsi"/>
                <w:sz w:val="20"/>
                <w:szCs w:val="20"/>
              </w:rPr>
              <w:lastRenderedPageBreak/>
              <w:t>Complete</w:t>
            </w:r>
          </w:p>
        </w:tc>
        <w:tc>
          <w:tcPr>
            <w:tcW w:w="552" w:type="pct"/>
            <w:shd w:val="clear" w:color="auto" w:fill="FFFFFF"/>
            <w:tcMar>
              <w:top w:w="100" w:type="dxa"/>
              <w:left w:w="100" w:type="dxa"/>
              <w:bottom w:w="100" w:type="dxa"/>
              <w:right w:w="100" w:type="dxa"/>
            </w:tcMar>
          </w:tcPr>
          <w:p w14:paraId="682C8DFA" w14:textId="5B62B343" w:rsidR="00C7256D" w:rsidRPr="00571CB7" w:rsidRDefault="00571CB7" w:rsidP="00C7256D">
            <w:pPr>
              <w:rPr>
                <w:rFonts w:asciiTheme="minorHAnsi" w:hAnsiTheme="minorHAnsi" w:cstheme="minorHAnsi"/>
                <w:sz w:val="20"/>
                <w:szCs w:val="20"/>
              </w:rPr>
            </w:pPr>
            <w:r w:rsidRPr="00571CB7">
              <w:rPr>
                <w:rFonts w:asciiTheme="minorHAnsi" w:hAnsiTheme="minorHAnsi" w:cstheme="minorHAnsi"/>
                <w:sz w:val="20"/>
                <w:szCs w:val="20"/>
                <w:lang w:val="en-GB"/>
              </w:rPr>
              <w:t xml:space="preserve">Surveys </w:t>
            </w:r>
            <w:r w:rsidRPr="00571CB7">
              <w:rPr>
                <w:rFonts w:asciiTheme="minorHAnsi" w:hAnsiTheme="minorHAnsi" w:cstheme="minorHAnsi"/>
                <w:sz w:val="20"/>
                <w:szCs w:val="20"/>
              </w:rPr>
              <w:t xml:space="preserve">have been completed for farm-household livelihood </w:t>
            </w:r>
            <w:r w:rsidRPr="00571CB7">
              <w:rPr>
                <w:rFonts w:asciiTheme="minorHAnsi" w:hAnsiTheme="minorHAnsi" w:cstheme="minorHAnsi"/>
                <w:sz w:val="20"/>
                <w:szCs w:val="20"/>
              </w:rPr>
              <w:lastRenderedPageBreak/>
              <w:t>typologies in Burkina Faso and Ethiopia</w:t>
            </w:r>
          </w:p>
        </w:tc>
        <w:tc>
          <w:tcPr>
            <w:tcW w:w="1997" w:type="pct"/>
            <w:shd w:val="clear" w:color="auto" w:fill="FFFFFF"/>
          </w:tcPr>
          <w:p w14:paraId="1CFCBEE5" w14:textId="27341276" w:rsidR="00F74B77" w:rsidRDefault="00703DB8" w:rsidP="00C7256D">
            <w:pPr>
              <w:rPr>
                <w:rStyle w:val="Hyperlink"/>
                <w:rFonts w:eastAsiaTheme="majorEastAsia"/>
              </w:rPr>
            </w:pPr>
            <w:hyperlink r:id="rId27" w:history="1">
              <w:r w:rsidR="00F74B77" w:rsidRPr="00FE10BD">
                <w:rPr>
                  <w:rStyle w:val="Hyperlink"/>
                  <w:rFonts w:eastAsiaTheme="majorEastAsia"/>
                </w:rPr>
                <w:t>https://mel.cgiar.org/reporting/download/report_file_id/13676</w:t>
              </w:r>
            </w:hyperlink>
          </w:p>
          <w:p w14:paraId="68789E07" w14:textId="76534FAD" w:rsidR="00F74B77" w:rsidRDefault="00703DB8" w:rsidP="00C7256D">
            <w:pPr>
              <w:rPr>
                <w:rStyle w:val="Hyperlink"/>
                <w:rFonts w:eastAsiaTheme="majorEastAsia"/>
              </w:rPr>
            </w:pPr>
            <w:hyperlink r:id="rId28" w:history="1">
              <w:r w:rsidR="00F74B77" w:rsidRPr="00FE10BD">
                <w:rPr>
                  <w:rStyle w:val="Hyperlink"/>
                  <w:rFonts w:eastAsiaTheme="majorEastAsia"/>
                </w:rPr>
                <w:t>https://mel.cgiar.org/reporting/download/report_file_id/13677</w:t>
              </w:r>
            </w:hyperlink>
          </w:p>
          <w:p w14:paraId="220FB334" w14:textId="17D81303" w:rsidR="00E60B1B" w:rsidRPr="00051107" w:rsidRDefault="00703DB8" w:rsidP="00E60B1B">
            <w:pPr>
              <w:ind w:left="284" w:hanging="284"/>
              <w:rPr>
                <w:rFonts w:cstheme="minorHAnsi"/>
                <w:color w:val="333333"/>
                <w:sz w:val="20"/>
                <w:szCs w:val="20"/>
                <w:shd w:val="clear" w:color="auto" w:fill="F5F5F5"/>
              </w:rPr>
            </w:pPr>
            <w:hyperlink r:id="rId29" w:history="1">
              <w:r w:rsidR="00E60B1B" w:rsidRPr="00051107">
                <w:rPr>
                  <w:rStyle w:val="Hyperlink"/>
                  <w:rFonts w:eastAsiaTheme="majorEastAsia" w:cstheme="minorHAnsi"/>
                  <w:sz w:val="20"/>
                  <w:szCs w:val="20"/>
                  <w:shd w:val="clear" w:color="auto" w:fill="F5F5F5"/>
                </w:rPr>
                <w:t>https://hdl.handle.net/20.500.11766/9512</w:t>
              </w:r>
            </w:hyperlink>
          </w:p>
          <w:p w14:paraId="60256886" w14:textId="77777777" w:rsidR="00E60B1B" w:rsidRDefault="00E60B1B" w:rsidP="00C7256D">
            <w:pPr>
              <w:rPr>
                <w:rFonts w:asciiTheme="majorHAnsi" w:hAnsiTheme="majorHAnsi" w:cstheme="majorHAnsi"/>
                <w:sz w:val="20"/>
                <w:szCs w:val="20"/>
              </w:rPr>
            </w:pPr>
          </w:p>
          <w:p w14:paraId="1627C7E8" w14:textId="575E1282" w:rsidR="00E60B1B" w:rsidRPr="00051107" w:rsidRDefault="00703DB8" w:rsidP="00E60B1B">
            <w:pPr>
              <w:ind w:left="284" w:hanging="284"/>
              <w:rPr>
                <w:rFonts w:cstheme="minorHAnsi"/>
                <w:color w:val="333333"/>
                <w:sz w:val="20"/>
                <w:szCs w:val="20"/>
                <w:shd w:val="clear" w:color="auto" w:fill="F5F5F5"/>
              </w:rPr>
            </w:pPr>
            <w:hyperlink r:id="rId30" w:history="1">
              <w:r w:rsidR="00E60B1B" w:rsidRPr="00051107">
                <w:rPr>
                  <w:rStyle w:val="Hyperlink"/>
                  <w:rFonts w:eastAsiaTheme="majorEastAsia" w:cstheme="minorHAnsi"/>
                  <w:sz w:val="20"/>
                  <w:szCs w:val="20"/>
                  <w:shd w:val="clear" w:color="auto" w:fill="F5F5F5"/>
                </w:rPr>
                <w:t>https://hdl.handle.net/20.500.11766/9551</w:t>
              </w:r>
            </w:hyperlink>
            <w:r w:rsidR="00E60B1B" w:rsidRPr="00051107">
              <w:rPr>
                <w:rFonts w:cstheme="minorHAnsi"/>
                <w:color w:val="333333"/>
                <w:sz w:val="20"/>
                <w:szCs w:val="20"/>
                <w:shd w:val="clear" w:color="auto" w:fill="F5F5F5"/>
              </w:rPr>
              <w:t xml:space="preserve"> </w:t>
            </w:r>
          </w:p>
          <w:p w14:paraId="42CE02EF" w14:textId="49FFE346" w:rsidR="00E60B1B" w:rsidRPr="00051107" w:rsidRDefault="00703DB8" w:rsidP="00E60B1B">
            <w:pPr>
              <w:ind w:left="284" w:hanging="284"/>
              <w:rPr>
                <w:rFonts w:cstheme="minorHAnsi"/>
                <w:sz w:val="20"/>
                <w:szCs w:val="20"/>
              </w:rPr>
            </w:pPr>
            <w:hyperlink r:id="rId31" w:history="1">
              <w:r w:rsidR="00E60B1B" w:rsidRPr="00051107">
                <w:rPr>
                  <w:rStyle w:val="Hyperlink"/>
                  <w:rFonts w:eastAsiaTheme="majorEastAsia" w:cstheme="minorHAnsi"/>
                  <w:sz w:val="20"/>
                  <w:szCs w:val="20"/>
                </w:rPr>
                <w:t>https://mel.cgiar.org/reporting/report/id/7380/del_id/15062</w:t>
              </w:r>
            </w:hyperlink>
          </w:p>
          <w:p w14:paraId="104F9C65" w14:textId="36E7E918" w:rsidR="00E60B1B" w:rsidRPr="0074375B" w:rsidRDefault="00E60B1B" w:rsidP="00C7256D">
            <w:pPr>
              <w:rPr>
                <w:rFonts w:asciiTheme="majorHAnsi" w:hAnsiTheme="majorHAnsi" w:cstheme="majorHAnsi"/>
                <w:sz w:val="20"/>
                <w:szCs w:val="20"/>
              </w:rPr>
            </w:pPr>
          </w:p>
        </w:tc>
      </w:tr>
      <w:tr w:rsidR="00C7256D" w:rsidRPr="009F63C7" w14:paraId="2EF4F5A9" w14:textId="77777777" w:rsidTr="00703DB8">
        <w:trPr>
          <w:trHeight w:val="263"/>
        </w:trPr>
        <w:tc>
          <w:tcPr>
            <w:tcW w:w="319" w:type="pct"/>
            <w:tcBorders>
              <w:top w:val="single" w:sz="4" w:space="0" w:color="auto"/>
              <w:bottom w:val="single" w:sz="4" w:space="0" w:color="auto"/>
              <w:right w:val="single" w:sz="4" w:space="0" w:color="auto"/>
            </w:tcBorders>
            <w:shd w:val="clear" w:color="auto" w:fill="E2EFD9" w:themeFill="accent6" w:themeFillTint="33"/>
            <w:tcMar>
              <w:top w:w="100" w:type="dxa"/>
              <w:left w:w="100" w:type="dxa"/>
              <w:bottom w:w="100" w:type="dxa"/>
              <w:right w:w="100" w:type="dxa"/>
            </w:tcMar>
          </w:tcPr>
          <w:p w14:paraId="476AF1C9" w14:textId="7933C53D" w:rsidR="00C7256D" w:rsidRPr="00307867" w:rsidRDefault="00C7256D" w:rsidP="00C7256D">
            <w:pPr>
              <w:rPr>
                <w:rFonts w:asciiTheme="majorHAnsi" w:hAnsiTheme="majorHAnsi" w:cstheme="majorHAnsi"/>
              </w:rPr>
            </w:pPr>
            <w:r w:rsidRPr="00307867">
              <w:rPr>
                <w:rFonts w:asciiTheme="majorHAnsi" w:hAnsiTheme="majorHAnsi" w:cstheme="majorHAnsi"/>
              </w:rPr>
              <w:lastRenderedPageBreak/>
              <w:t>3</w:t>
            </w:r>
          </w:p>
        </w:tc>
        <w:tc>
          <w:tcPr>
            <w:tcW w:w="44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100" w:type="dxa"/>
              <w:left w:w="100" w:type="dxa"/>
              <w:bottom w:w="100" w:type="dxa"/>
              <w:right w:w="100" w:type="dxa"/>
            </w:tcMar>
            <w:vAlign w:val="center"/>
          </w:tcPr>
          <w:p w14:paraId="6CCA797F" w14:textId="07AD7AC1" w:rsidR="00C7256D" w:rsidRPr="00307867" w:rsidRDefault="00C7256D" w:rsidP="00C7256D">
            <w:pPr>
              <w:ind w:right="100"/>
              <w:rPr>
                <w:rFonts w:asciiTheme="majorHAnsi" w:hAnsiTheme="majorHAnsi" w:cstheme="majorHAnsi"/>
              </w:rPr>
            </w:pPr>
            <w:r w:rsidRPr="00307867">
              <w:rPr>
                <w:rFonts w:ascii="Calibri" w:hAnsi="Calibri" w:cs="Calibri"/>
                <w:sz w:val="20"/>
                <w:szCs w:val="20"/>
              </w:rPr>
              <w:t>FP3.O2. Cropping systems sustainably intensified and diversified</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2EA3DB66" w14:textId="3603B59C" w:rsidR="00C7256D" w:rsidRPr="00307867" w:rsidRDefault="00C7256D" w:rsidP="00C7256D">
            <w:pPr>
              <w:ind w:right="100"/>
              <w:rPr>
                <w:rFonts w:asciiTheme="majorHAnsi" w:hAnsiTheme="majorHAnsi" w:cstheme="majorHAnsi"/>
              </w:rPr>
            </w:pPr>
            <w:r w:rsidRPr="00307867">
              <w:rPr>
                <w:rFonts w:ascii="Calibri" w:hAnsi="Calibri" w:cs="Calibri"/>
                <w:sz w:val="20"/>
                <w:szCs w:val="20"/>
              </w:rPr>
              <w:t>Increased resilience of agro-ecosystems and communities, especially those including smallholders</w:t>
            </w:r>
          </w:p>
        </w:tc>
        <w:tc>
          <w:tcPr>
            <w:tcW w:w="373"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F249F03" w14:textId="2B6F5064" w:rsidR="00C7256D" w:rsidRPr="00307867" w:rsidRDefault="00C7256D" w:rsidP="00C7256D">
            <w:pPr>
              <w:ind w:right="100"/>
              <w:rPr>
                <w:rFonts w:asciiTheme="majorHAnsi" w:hAnsiTheme="majorHAnsi" w:cstheme="majorHAnsi"/>
              </w:rPr>
            </w:pPr>
          </w:p>
        </w:tc>
        <w:tc>
          <w:tcPr>
            <w:tcW w:w="505" w:type="pct"/>
            <w:tcBorders>
              <w:top w:val="single" w:sz="4" w:space="0" w:color="auto"/>
              <w:left w:val="single" w:sz="4" w:space="0" w:color="auto"/>
              <w:bottom w:val="single" w:sz="4" w:space="0" w:color="auto"/>
            </w:tcBorders>
            <w:shd w:val="clear" w:color="auto" w:fill="D9EAD3"/>
            <w:tcMar>
              <w:top w:w="100" w:type="dxa"/>
              <w:left w:w="100" w:type="dxa"/>
              <w:bottom w:w="100" w:type="dxa"/>
              <w:right w:w="100" w:type="dxa"/>
            </w:tcMar>
            <w:vAlign w:val="center"/>
          </w:tcPr>
          <w:p w14:paraId="1AF51075" w14:textId="6A57904D" w:rsidR="00C7256D" w:rsidRPr="00307867" w:rsidRDefault="00C7256D" w:rsidP="00C7256D">
            <w:pPr>
              <w:ind w:right="100"/>
              <w:rPr>
                <w:rFonts w:asciiTheme="majorHAnsi" w:hAnsiTheme="majorHAnsi" w:cstheme="majorHAnsi"/>
              </w:rPr>
            </w:pPr>
            <w:r w:rsidRPr="00307867">
              <w:rPr>
                <w:rFonts w:ascii="Calibri" w:hAnsi="Calibri" w:cs="Calibri"/>
                <w:color w:val="000000"/>
                <w:sz w:val="20"/>
                <w:szCs w:val="20"/>
              </w:rPr>
              <w:t xml:space="preserve">Map out areas suitable for crop diversification using GIS. Participatory field trials under smallholder conditions to evaluate the different cropping systems under different </w:t>
            </w:r>
            <w:r w:rsidRPr="00307867">
              <w:rPr>
                <w:rFonts w:ascii="Calibri" w:hAnsi="Calibri" w:cs="Calibri"/>
                <w:color w:val="000000"/>
                <w:sz w:val="20"/>
                <w:szCs w:val="20"/>
              </w:rPr>
              <w:lastRenderedPageBreak/>
              <w:t>environments in different countries for farmers with landholdings less than 1 ha</w:t>
            </w:r>
          </w:p>
        </w:tc>
        <w:tc>
          <w:tcPr>
            <w:tcW w:w="379" w:type="pct"/>
            <w:shd w:val="clear" w:color="auto" w:fill="FFFFFF"/>
            <w:tcMar>
              <w:top w:w="100" w:type="dxa"/>
              <w:left w:w="100" w:type="dxa"/>
              <w:bottom w:w="100" w:type="dxa"/>
              <w:right w:w="100" w:type="dxa"/>
            </w:tcMar>
          </w:tcPr>
          <w:p w14:paraId="46850E3A" w14:textId="596A11BF" w:rsidR="00C7256D" w:rsidRPr="00307867" w:rsidRDefault="00DD2935" w:rsidP="00C7256D">
            <w:pPr>
              <w:rPr>
                <w:rFonts w:asciiTheme="minorHAnsi" w:hAnsiTheme="minorHAnsi" w:cstheme="minorHAnsi"/>
                <w:sz w:val="20"/>
                <w:szCs w:val="20"/>
              </w:rPr>
            </w:pPr>
            <w:r w:rsidRPr="00307867">
              <w:rPr>
                <w:rFonts w:asciiTheme="minorHAnsi" w:hAnsiTheme="minorHAnsi" w:cstheme="minorHAnsi"/>
                <w:sz w:val="20"/>
                <w:szCs w:val="20"/>
              </w:rPr>
              <w:lastRenderedPageBreak/>
              <w:t>Extended</w:t>
            </w:r>
          </w:p>
        </w:tc>
        <w:tc>
          <w:tcPr>
            <w:tcW w:w="552" w:type="pct"/>
            <w:shd w:val="clear" w:color="auto" w:fill="FFFFFF"/>
            <w:tcMar>
              <w:top w:w="100" w:type="dxa"/>
              <w:left w:w="100" w:type="dxa"/>
              <w:bottom w:w="100" w:type="dxa"/>
              <w:right w:w="100" w:type="dxa"/>
            </w:tcMar>
          </w:tcPr>
          <w:p w14:paraId="43BF4691" w14:textId="77777777" w:rsidR="00C7256D" w:rsidRPr="00307867" w:rsidRDefault="00DD2935" w:rsidP="00C7256D">
            <w:pPr>
              <w:rPr>
                <w:rFonts w:asciiTheme="minorHAnsi" w:hAnsiTheme="minorHAnsi" w:cstheme="minorHAnsi"/>
                <w:sz w:val="20"/>
                <w:szCs w:val="20"/>
              </w:rPr>
            </w:pPr>
            <w:r w:rsidRPr="00307867">
              <w:rPr>
                <w:rFonts w:asciiTheme="minorHAnsi" w:hAnsiTheme="minorHAnsi" w:cstheme="minorHAnsi"/>
                <w:sz w:val="20"/>
                <w:szCs w:val="20"/>
              </w:rPr>
              <w:t>1, 2 and 6</w:t>
            </w:r>
          </w:p>
          <w:p w14:paraId="1C02F661" w14:textId="77777777" w:rsidR="00DB5FFC" w:rsidRPr="00307867" w:rsidRDefault="00DB5FFC" w:rsidP="00C7256D">
            <w:pPr>
              <w:rPr>
                <w:rFonts w:asciiTheme="minorHAnsi" w:hAnsiTheme="minorHAnsi" w:cstheme="minorHAnsi"/>
                <w:sz w:val="20"/>
                <w:szCs w:val="20"/>
              </w:rPr>
            </w:pPr>
          </w:p>
          <w:p w14:paraId="797FA9F9" w14:textId="16EAEF8F" w:rsidR="00DB5FFC" w:rsidRPr="00307867" w:rsidRDefault="00DB5FFC" w:rsidP="006021E5">
            <w:pPr>
              <w:rPr>
                <w:rFonts w:asciiTheme="minorHAnsi" w:hAnsiTheme="minorHAnsi" w:cstheme="minorHAnsi"/>
                <w:sz w:val="20"/>
                <w:szCs w:val="20"/>
              </w:rPr>
            </w:pPr>
          </w:p>
        </w:tc>
        <w:tc>
          <w:tcPr>
            <w:tcW w:w="1997" w:type="pct"/>
            <w:shd w:val="clear" w:color="auto" w:fill="FFFFFF"/>
          </w:tcPr>
          <w:p w14:paraId="31A8ACAB" w14:textId="77777777" w:rsidR="00C7256D" w:rsidRPr="009F63C7" w:rsidRDefault="00C7256D" w:rsidP="00C7256D">
            <w:pPr>
              <w:rPr>
                <w:rFonts w:asciiTheme="majorHAnsi" w:hAnsiTheme="majorHAnsi" w:cstheme="majorHAnsi"/>
              </w:rPr>
            </w:pPr>
          </w:p>
        </w:tc>
      </w:tr>
      <w:tr w:rsidR="00DD2935" w:rsidRPr="009F63C7" w14:paraId="0AA88B30" w14:textId="77777777" w:rsidTr="00703DB8">
        <w:trPr>
          <w:trHeight w:val="263"/>
        </w:trPr>
        <w:tc>
          <w:tcPr>
            <w:tcW w:w="319" w:type="pct"/>
            <w:tcBorders>
              <w:top w:val="single" w:sz="4" w:space="0" w:color="auto"/>
              <w:bottom w:val="single" w:sz="4" w:space="0" w:color="auto"/>
              <w:right w:val="single" w:sz="4" w:space="0" w:color="auto"/>
            </w:tcBorders>
            <w:shd w:val="clear" w:color="auto" w:fill="E2EFD9" w:themeFill="accent6" w:themeFillTint="33"/>
            <w:tcMar>
              <w:top w:w="100" w:type="dxa"/>
              <w:left w:w="100" w:type="dxa"/>
              <w:bottom w:w="100" w:type="dxa"/>
              <w:right w:w="100" w:type="dxa"/>
            </w:tcMar>
          </w:tcPr>
          <w:p w14:paraId="169862CD" w14:textId="5222B3CA" w:rsidR="00DD2935" w:rsidRPr="00307867" w:rsidRDefault="00DD2935" w:rsidP="00DD2935">
            <w:pPr>
              <w:rPr>
                <w:rFonts w:asciiTheme="majorHAnsi" w:hAnsiTheme="majorHAnsi" w:cstheme="majorHAnsi"/>
              </w:rPr>
            </w:pPr>
            <w:r w:rsidRPr="00307867">
              <w:rPr>
                <w:rFonts w:asciiTheme="majorHAnsi" w:hAnsiTheme="majorHAnsi" w:cstheme="majorHAnsi"/>
              </w:rPr>
              <w:t>3</w:t>
            </w:r>
          </w:p>
        </w:tc>
        <w:tc>
          <w:tcPr>
            <w:tcW w:w="44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100" w:type="dxa"/>
              <w:left w:w="100" w:type="dxa"/>
              <w:bottom w:w="100" w:type="dxa"/>
              <w:right w:w="100" w:type="dxa"/>
            </w:tcMar>
            <w:vAlign w:val="center"/>
          </w:tcPr>
          <w:p w14:paraId="6F130FFC" w14:textId="41D4A5ED" w:rsidR="00DD2935" w:rsidRPr="00307867" w:rsidRDefault="00DD2935" w:rsidP="00DD2935">
            <w:pPr>
              <w:ind w:right="100"/>
              <w:rPr>
                <w:rFonts w:asciiTheme="majorHAnsi" w:hAnsiTheme="majorHAnsi" w:cstheme="majorHAnsi"/>
              </w:rPr>
            </w:pPr>
            <w:r w:rsidRPr="00307867">
              <w:rPr>
                <w:rFonts w:ascii="Calibri" w:hAnsi="Calibri" w:cs="Calibri"/>
                <w:sz w:val="20"/>
                <w:szCs w:val="20"/>
              </w:rPr>
              <w:t>FP3.O2. Cropping systems sustainably intensified and diversified</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9593B9F" w14:textId="475B0088" w:rsidR="00DD2935" w:rsidRPr="00307867" w:rsidRDefault="00DD2935" w:rsidP="00DD2935">
            <w:pPr>
              <w:ind w:right="100"/>
              <w:rPr>
                <w:rFonts w:asciiTheme="majorHAnsi" w:hAnsiTheme="majorHAnsi" w:cstheme="majorHAnsi"/>
              </w:rPr>
            </w:pPr>
            <w:r w:rsidRPr="00307867">
              <w:rPr>
                <w:rFonts w:ascii="Calibri" w:hAnsi="Calibri" w:cs="Calibri"/>
                <w:sz w:val="20"/>
                <w:szCs w:val="20"/>
              </w:rPr>
              <w:t>Increased resilience of agro-ecosystems and communities, especially those including smallholders</w:t>
            </w:r>
          </w:p>
        </w:tc>
        <w:tc>
          <w:tcPr>
            <w:tcW w:w="373"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510D03" w14:textId="686BE7AA" w:rsidR="00DD2935" w:rsidRPr="00307867" w:rsidRDefault="00DD2935" w:rsidP="00DD2935">
            <w:pPr>
              <w:ind w:right="100"/>
              <w:rPr>
                <w:rFonts w:asciiTheme="majorHAnsi" w:hAnsiTheme="majorHAnsi" w:cstheme="majorHAnsi"/>
              </w:rPr>
            </w:pPr>
          </w:p>
        </w:tc>
        <w:tc>
          <w:tcPr>
            <w:tcW w:w="505" w:type="pct"/>
            <w:tcBorders>
              <w:top w:val="single" w:sz="4" w:space="0" w:color="auto"/>
              <w:left w:val="single" w:sz="4" w:space="0" w:color="auto"/>
              <w:bottom w:val="single" w:sz="4" w:space="0" w:color="auto"/>
            </w:tcBorders>
            <w:shd w:val="clear" w:color="auto" w:fill="D9EAD3"/>
            <w:tcMar>
              <w:top w:w="100" w:type="dxa"/>
              <w:left w:w="100" w:type="dxa"/>
              <w:bottom w:w="100" w:type="dxa"/>
              <w:right w:w="100" w:type="dxa"/>
            </w:tcMar>
            <w:vAlign w:val="center"/>
          </w:tcPr>
          <w:p w14:paraId="636D2C84" w14:textId="3C47CDBD" w:rsidR="00DD2935" w:rsidRPr="00307867" w:rsidRDefault="00DD2935" w:rsidP="00DD2935">
            <w:pPr>
              <w:ind w:right="100"/>
              <w:rPr>
                <w:rFonts w:asciiTheme="majorHAnsi" w:hAnsiTheme="majorHAnsi" w:cstheme="majorHAnsi"/>
              </w:rPr>
            </w:pPr>
            <w:r w:rsidRPr="00307867">
              <w:rPr>
                <w:rFonts w:ascii="Calibri" w:hAnsi="Calibri" w:cs="Calibri"/>
                <w:color w:val="000000"/>
                <w:sz w:val="20"/>
                <w:szCs w:val="20"/>
              </w:rPr>
              <w:t>Methods developed to document the land area the target sites that use crop mixtures and sequences as a means to minimize crop damage in project sites without increasing pesticide use</w:t>
            </w:r>
          </w:p>
        </w:tc>
        <w:tc>
          <w:tcPr>
            <w:tcW w:w="379" w:type="pct"/>
            <w:shd w:val="clear" w:color="auto" w:fill="FFFFFF"/>
            <w:tcMar>
              <w:top w:w="100" w:type="dxa"/>
              <w:left w:w="100" w:type="dxa"/>
              <w:bottom w:w="100" w:type="dxa"/>
              <w:right w:w="100" w:type="dxa"/>
            </w:tcMar>
          </w:tcPr>
          <w:p w14:paraId="6E51AAAD" w14:textId="0DEE78C3" w:rsidR="00DD2935" w:rsidRPr="00307867" w:rsidRDefault="00DD2935" w:rsidP="00DD2935">
            <w:pPr>
              <w:rPr>
                <w:rFonts w:asciiTheme="majorHAnsi" w:hAnsiTheme="majorHAnsi" w:cstheme="majorHAnsi"/>
              </w:rPr>
            </w:pPr>
            <w:r w:rsidRPr="00307867">
              <w:rPr>
                <w:rFonts w:asciiTheme="minorHAnsi" w:hAnsiTheme="minorHAnsi" w:cstheme="minorHAnsi"/>
                <w:sz w:val="20"/>
                <w:szCs w:val="20"/>
              </w:rPr>
              <w:t>Extended</w:t>
            </w:r>
          </w:p>
        </w:tc>
        <w:tc>
          <w:tcPr>
            <w:tcW w:w="552" w:type="pct"/>
            <w:shd w:val="clear" w:color="auto" w:fill="FFFFFF"/>
            <w:tcMar>
              <w:top w:w="100" w:type="dxa"/>
              <w:left w:w="100" w:type="dxa"/>
              <w:bottom w:w="100" w:type="dxa"/>
              <w:right w:w="100" w:type="dxa"/>
            </w:tcMar>
          </w:tcPr>
          <w:p w14:paraId="68B4A754" w14:textId="77777777" w:rsidR="00DD2935" w:rsidRPr="00307867" w:rsidRDefault="00DD2935" w:rsidP="00DD2935">
            <w:pPr>
              <w:rPr>
                <w:rFonts w:asciiTheme="minorHAnsi" w:hAnsiTheme="minorHAnsi" w:cstheme="minorHAnsi"/>
                <w:sz w:val="20"/>
                <w:szCs w:val="20"/>
              </w:rPr>
            </w:pPr>
            <w:r w:rsidRPr="00307867">
              <w:rPr>
                <w:rFonts w:asciiTheme="minorHAnsi" w:hAnsiTheme="minorHAnsi" w:cstheme="minorHAnsi"/>
                <w:sz w:val="20"/>
                <w:szCs w:val="20"/>
              </w:rPr>
              <w:t>1, 2 and 6</w:t>
            </w:r>
          </w:p>
          <w:p w14:paraId="2B3F8870" w14:textId="77777777" w:rsidR="00DB5FFC" w:rsidRPr="00307867" w:rsidRDefault="00DB5FFC" w:rsidP="00DB5FFC">
            <w:pPr>
              <w:rPr>
                <w:rFonts w:asciiTheme="majorHAnsi" w:hAnsiTheme="majorHAnsi" w:cstheme="majorHAnsi"/>
              </w:rPr>
            </w:pPr>
          </w:p>
          <w:p w14:paraId="4E0DB02C" w14:textId="042A6409" w:rsidR="006021E5" w:rsidRPr="00307867" w:rsidRDefault="006021E5" w:rsidP="00DB5FFC">
            <w:pPr>
              <w:rPr>
                <w:rFonts w:asciiTheme="majorHAnsi" w:hAnsiTheme="majorHAnsi" w:cstheme="majorHAnsi"/>
              </w:rPr>
            </w:pPr>
          </w:p>
        </w:tc>
        <w:tc>
          <w:tcPr>
            <w:tcW w:w="1997" w:type="pct"/>
            <w:shd w:val="clear" w:color="auto" w:fill="FFFFFF"/>
          </w:tcPr>
          <w:p w14:paraId="7E2C759A" w14:textId="77777777" w:rsidR="00DD2935" w:rsidRPr="009F63C7" w:rsidRDefault="00DD2935" w:rsidP="00DD2935">
            <w:pPr>
              <w:rPr>
                <w:rFonts w:asciiTheme="majorHAnsi" w:hAnsiTheme="majorHAnsi" w:cstheme="majorHAnsi"/>
              </w:rPr>
            </w:pPr>
          </w:p>
        </w:tc>
      </w:tr>
      <w:tr w:rsidR="00DD2935" w:rsidRPr="009F63C7" w14:paraId="03D0229F" w14:textId="77777777" w:rsidTr="00703DB8">
        <w:trPr>
          <w:trHeight w:val="1080"/>
        </w:trPr>
        <w:tc>
          <w:tcPr>
            <w:tcW w:w="319" w:type="pct"/>
            <w:tcBorders>
              <w:top w:val="single" w:sz="4" w:space="0" w:color="auto"/>
            </w:tcBorders>
            <w:shd w:val="clear" w:color="auto" w:fill="E2EFD9" w:themeFill="accent6" w:themeFillTint="33"/>
            <w:tcMar>
              <w:top w:w="100" w:type="dxa"/>
              <w:left w:w="100" w:type="dxa"/>
              <w:bottom w:w="100" w:type="dxa"/>
              <w:right w:w="100" w:type="dxa"/>
            </w:tcMar>
          </w:tcPr>
          <w:p w14:paraId="09486F7F" w14:textId="18582553" w:rsidR="00DD2935" w:rsidRPr="009F63C7" w:rsidRDefault="00DD2935" w:rsidP="00DD2935">
            <w:pPr>
              <w:rPr>
                <w:rFonts w:asciiTheme="majorHAnsi" w:hAnsiTheme="majorHAnsi" w:cstheme="majorHAnsi"/>
              </w:rPr>
            </w:pPr>
            <w:r>
              <w:rPr>
                <w:rFonts w:asciiTheme="majorHAnsi" w:hAnsiTheme="majorHAnsi" w:cstheme="majorHAnsi"/>
              </w:rPr>
              <w:t>3</w:t>
            </w:r>
          </w:p>
        </w:tc>
        <w:tc>
          <w:tcPr>
            <w:tcW w:w="441"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100" w:type="dxa"/>
              <w:left w:w="100" w:type="dxa"/>
              <w:bottom w:w="100" w:type="dxa"/>
              <w:right w:w="100" w:type="dxa"/>
            </w:tcMar>
            <w:vAlign w:val="center"/>
          </w:tcPr>
          <w:p w14:paraId="3AEA17FB" w14:textId="2304444F" w:rsidR="00DD2935" w:rsidRPr="009F63C7" w:rsidRDefault="00DD2935" w:rsidP="00DD2935">
            <w:pPr>
              <w:ind w:right="100"/>
              <w:rPr>
                <w:rFonts w:asciiTheme="majorHAnsi" w:hAnsiTheme="majorHAnsi" w:cstheme="majorHAnsi"/>
              </w:rPr>
            </w:pPr>
            <w:r>
              <w:rPr>
                <w:rFonts w:ascii="Calibri" w:hAnsi="Calibri" w:cs="Calibri"/>
                <w:color w:val="000000"/>
                <w:sz w:val="20"/>
                <w:szCs w:val="20"/>
              </w:rPr>
              <w:t>FP3.O3. Tested, adapted and validated options applied for sustainable intensification and livelihood diversificati</w:t>
            </w:r>
            <w:r>
              <w:rPr>
                <w:rFonts w:ascii="Calibri" w:hAnsi="Calibri" w:cs="Calibri"/>
                <w:color w:val="000000"/>
                <w:sz w:val="20"/>
                <w:szCs w:val="20"/>
              </w:rPr>
              <w:lastRenderedPageBreak/>
              <w:t>on by farmers</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1A6BE8B" w14:textId="75BD5BEB" w:rsidR="00DD2935" w:rsidRPr="009F63C7" w:rsidRDefault="00DD2935" w:rsidP="00DD2935">
            <w:pPr>
              <w:ind w:right="100"/>
              <w:rPr>
                <w:rFonts w:asciiTheme="majorHAnsi" w:hAnsiTheme="majorHAnsi" w:cstheme="majorHAnsi"/>
                <w:highlight w:val="white"/>
              </w:rPr>
            </w:pPr>
            <w:r>
              <w:rPr>
                <w:rFonts w:ascii="Calibri" w:hAnsi="Calibri" w:cs="Calibri"/>
                <w:color w:val="000000"/>
                <w:sz w:val="20"/>
                <w:szCs w:val="20"/>
              </w:rPr>
              <w:lastRenderedPageBreak/>
              <w:t>Increased resilience of agro-ecosystems and communities, especially those including smallholders</w:t>
            </w:r>
          </w:p>
        </w:tc>
        <w:tc>
          <w:tcPr>
            <w:tcW w:w="373"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4E8A37A" w14:textId="77777777" w:rsidR="00DD2935" w:rsidRPr="009F63C7" w:rsidRDefault="00DD2935" w:rsidP="00DD2935">
            <w:pPr>
              <w:ind w:right="100"/>
              <w:rPr>
                <w:rFonts w:asciiTheme="majorHAnsi" w:hAnsiTheme="majorHAnsi" w:cstheme="majorHAnsi"/>
                <w:highlight w:val="white"/>
              </w:rPr>
            </w:pPr>
          </w:p>
        </w:tc>
        <w:tc>
          <w:tcPr>
            <w:tcW w:w="505" w:type="pct"/>
            <w:tcBorders>
              <w:top w:val="single" w:sz="4" w:space="0" w:color="auto"/>
              <w:left w:val="single" w:sz="4" w:space="0" w:color="auto"/>
              <w:bottom w:val="single" w:sz="4" w:space="0" w:color="auto"/>
            </w:tcBorders>
            <w:shd w:val="clear" w:color="auto" w:fill="D9EAD3"/>
            <w:tcMar>
              <w:top w:w="100" w:type="dxa"/>
              <w:left w:w="100" w:type="dxa"/>
              <w:bottom w:w="100" w:type="dxa"/>
              <w:right w:w="100" w:type="dxa"/>
            </w:tcMar>
            <w:vAlign w:val="center"/>
          </w:tcPr>
          <w:p w14:paraId="5BD45603" w14:textId="7C7C42AC" w:rsidR="00DD2935" w:rsidRPr="009F63C7" w:rsidRDefault="00DD2935" w:rsidP="00DD2935">
            <w:pPr>
              <w:ind w:right="100"/>
              <w:rPr>
                <w:rFonts w:asciiTheme="majorHAnsi" w:hAnsiTheme="majorHAnsi" w:cstheme="majorHAnsi"/>
              </w:rPr>
            </w:pPr>
            <w:r>
              <w:rPr>
                <w:rFonts w:ascii="Calibri" w:hAnsi="Calibri" w:cs="Calibri"/>
                <w:color w:val="000000"/>
                <w:sz w:val="20"/>
                <w:szCs w:val="20"/>
              </w:rPr>
              <w:t>Suite of systems modelling tools/framework for co-designing resilient farming systems in GLDC regions</w:t>
            </w:r>
          </w:p>
        </w:tc>
        <w:tc>
          <w:tcPr>
            <w:tcW w:w="379" w:type="pct"/>
            <w:shd w:val="clear" w:color="auto" w:fill="FFFFFF"/>
            <w:tcMar>
              <w:top w:w="100" w:type="dxa"/>
              <w:left w:w="100" w:type="dxa"/>
              <w:bottom w:w="100" w:type="dxa"/>
              <w:right w:w="100" w:type="dxa"/>
            </w:tcMar>
          </w:tcPr>
          <w:p w14:paraId="7BF490FF" w14:textId="13AC3842" w:rsidR="00DD2935" w:rsidRPr="0056410F" w:rsidRDefault="00C8560F" w:rsidP="00DD2935">
            <w:pPr>
              <w:rPr>
                <w:rFonts w:asciiTheme="minorHAnsi" w:hAnsiTheme="minorHAnsi" w:cstheme="minorHAnsi"/>
                <w:sz w:val="20"/>
                <w:szCs w:val="20"/>
              </w:rPr>
            </w:pPr>
            <w:r w:rsidRPr="0056410F">
              <w:rPr>
                <w:rFonts w:asciiTheme="minorHAnsi" w:hAnsiTheme="minorHAnsi" w:cstheme="minorHAnsi"/>
                <w:sz w:val="20"/>
                <w:szCs w:val="20"/>
              </w:rPr>
              <w:t>Complete</w:t>
            </w:r>
          </w:p>
        </w:tc>
        <w:tc>
          <w:tcPr>
            <w:tcW w:w="552" w:type="pct"/>
            <w:shd w:val="clear" w:color="auto" w:fill="FFFFFF"/>
            <w:tcMar>
              <w:top w:w="100" w:type="dxa"/>
              <w:left w:w="100" w:type="dxa"/>
              <w:bottom w:w="100" w:type="dxa"/>
              <w:right w:w="100" w:type="dxa"/>
            </w:tcMar>
          </w:tcPr>
          <w:p w14:paraId="226866E1" w14:textId="4E56DB08" w:rsidR="000272A0" w:rsidRPr="0056410F" w:rsidRDefault="0056410F" w:rsidP="000272A0">
            <w:pPr>
              <w:autoSpaceDE w:val="0"/>
              <w:autoSpaceDN w:val="0"/>
              <w:adjustRightInd w:val="0"/>
              <w:rPr>
                <w:rFonts w:asciiTheme="minorHAnsi" w:eastAsia="Calibri" w:hAnsiTheme="minorHAnsi" w:cstheme="minorHAnsi"/>
                <w:sz w:val="20"/>
                <w:szCs w:val="20"/>
              </w:rPr>
            </w:pPr>
            <w:r>
              <w:rPr>
                <w:rFonts w:asciiTheme="minorHAnsi" w:eastAsia="Calibri" w:hAnsiTheme="minorHAnsi" w:cstheme="minorHAnsi"/>
                <w:sz w:val="20"/>
                <w:szCs w:val="20"/>
              </w:rPr>
              <w:t xml:space="preserve">A </w:t>
            </w:r>
            <w:r w:rsidR="000272A0" w:rsidRPr="0056410F">
              <w:rPr>
                <w:rFonts w:asciiTheme="minorHAnsi" w:eastAsia="Calibri" w:hAnsiTheme="minorHAnsi" w:cstheme="minorHAnsi"/>
                <w:sz w:val="20"/>
                <w:szCs w:val="20"/>
              </w:rPr>
              <w:t xml:space="preserve">comprehensive framework for farming systems sustainability with five domains and 115 indicators in India. A multi-dimensional analysis was undertaken to </w:t>
            </w:r>
            <w:r w:rsidR="000272A0" w:rsidRPr="0056410F">
              <w:rPr>
                <w:rFonts w:asciiTheme="minorHAnsi" w:eastAsia="Calibri" w:hAnsiTheme="minorHAnsi" w:cstheme="minorHAnsi"/>
                <w:sz w:val="20"/>
                <w:szCs w:val="20"/>
              </w:rPr>
              <w:lastRenderedPageBreak/>
              <w:t>explore the near-future effects of different scenarios on food security dimensions of SI in southern Mali</w:t>
            </w:r>
            <w:r w:rsidR="000272A0" w:rsidRPr="0056410F">
              <w:rPr>
                <w:rFonts w:asciiTheme="minorHAnsi" w:hAnsiTheme="minorHAnsi" w:cstheme="minorHAnsi"/>
                <w:sz w:val="20"/>
                <w:szCs w:val="20"/>
              </w:rPr>
              <w:t>.</w:t>
            </w:r>
            <w:r w:rsidR="000272A0" w:rsidRPr="0056410F">
              <w:rPr>
                <w:rStyle w:val="Hyperlink"/>
                <w:rFonts w:asciiTheme="minorHAnsi" w:eastAsia="Calibri" w:hAnsiTheme="minorHAnsi" w:cstheme="minorHAnsi"/>
                <w:color w:val="auto"/>
                <w:sz w:val="20"/>
                <w:szCs w:val="20"/>
                <w:u w:val="none"/>
              </w:rPr>
              <w:t xml:space="preserve"> </w:t>
            </w:r>
            <w:r w:rsidR="000272A0" w:rsidRPr="0056410F">
              <w:rPr>
                <w:rFonts w:asciiTheme="minorHAnsi" w:eastAsia="Calibri" w:hAnsiTheme="minorHAnsi" w:cstheme="minorHAnsi"/>
                <w:sz w:val="20"/>
                <w:szCs w:val="20"/>
              </w:rPr>
              <w:t xml:space="preserve">A remote sensing-based model has been calibrated for millet yield estimated allowing to account for parkland effects (R²=0.70) in Senegal. </w:t>
            </w:r>
          </w:p>
          <w:p w14:paraId="706B73A8" w14:textId="77777777" w:rsidR="00DD2935" w:rsidRPr="0056410F" w:rsidRDefault="00DD2935" w:rsidP="00DD2935">
            <w:pPr>
              <w:rPr>
                <w:rFonts w:asciiTheme="minorHAnsi" w:hAnsiTheme="minorHAnsi" w:cstheme="minorHAnsi"/>
                <w:sz w:val="20"/>
                <w:szCs w:val="20"/>
              </w:rPr>
            </w:pPr>
          </w:p>
        </w:tc>
        <w:tc>
          <w:tcPr>
            <w:tcW w:w="1997" w:type="pct"/>
            <w:shd w:val="clear" w:color="auto" w:fill="FFFFFF"/>
          </w:tcPr>
          <w:p w14:paraId="6AE08ED6" w14:textId="77777777" w:rsidR="00DD2935" w:rsidRPr="0056410F" w:rsidRDefault="00703DB8" w:rsidP="00DD2935">
            <w:pPr>
              <w:rPr>
                <w:rStyle w:val="Hyperlink"/>
                <w:rFonts w:asciiTheme="minorHAnsi" w:hAnsiTheme="minorHAnsi" w:cstheme="minorHAnsi"/>
                <w:sz w:val="20"/>
                <w:szCs w:val="20"/>
              </w:rPr>
            </w:pPr>
            <w:hyperlink r:id="rId32" w:history="1">
              <w:r w:rsidR="0041139B" w:rsidRPr="0056410F">
                <w:rPr>
                  <w:rStyle w:val="Hyperlink"/>
                  <w:rFonts w:asciiTheme="minorHAnsi" w:hAnsiTheme="minorHAnsi" w:cstheme="minorHAnsi"/>
                  <w:sz w:val="20"/>
                  <w:szCs w:val="20"/>
                </w:rPr>
                <w:t>http://oar.icrisat.org/11246/</w:t>
              </w:r>
            </w:hyperlink>
          </w:p>
          <w:p w14:paraId="6540D8F5" w14:textId="5FED73CF" w:rsidR="0056410F" w:rsidRPr="0056410F" w:rsidRDefault="00703DB8" w:rsidP="00DD2935">
            <w:pPr>
              <w:rPr>
                <w:rFonts w:asciiTheme="minorHAnsi" w:hAnsiTheme="minorHAnsi" w:cstheme="minorHAnsi"/>
                <w:sz w:val="20"/>
                <w:szCs w:val="20"/>
              </w:rPr>
            </w:pPr>
            <w:hyperlink r:id="rId33" w:history="1">
              <w:r w:rsidR="0056410F" w:rsidRPr="0056410F">
                <w:rPr>
                  <w:rStyle w:val="Hyperlink"/>
                  <w:rFonts w:asciiTheme="minorHAnsi" w:hAnsiTheme="minorHAnsi" w:cstheme="minorHAnsi"/>
                  <w:sz w:val="20"/>
                  <w:szCs w:val="20"/>
                </w:rPr>
                <w:t>https://bscmsc.pps.wur.nl/assessment-potential-future-sustain-ability-smallholder-farming-old-cotton-basin-mali</w:t>
              </w:r>
            </w:hyperlink>
          </w:p>
        </w:tc>
      </w:tr>
      <w:tr w:rsidR="00DD2935" w:rsidRPr="009F63C7" w14:paraId="52FDC07A" w14:textId="77777777" w:rsidTr="00703DB8">
        <w:trPr>
          <w:trHeight w:val="1080"/>
        </w:trPr>
        <w:tc>
          <w:tcPr>
            <w:tcW w:w="319" w:type="pct"/>
            <w:tcBorders>
              <w:top w:val="single" w:sz="4" w:space="0" w:color="auto"/>
            </w:tcBorders>
            <w:shd w:val="clear" w:color="auto" w:fill="D9EAD3"/>
            <w:tcMar>
              <w:top w:w="100" w:type="dxa"/>
              <w:left w:w="100" w:type="dxa"/>
              <w:bottom w:w="100" w:type="dxa"/>
              <w:right w:w="100" w:type="dxa"/>
            </w:tcMar>
          </w:tcPr>
          <w:p w14:paraId="01B5FE30" w14:textId="77777777" w:rsidR="00DD2935" w:rsidRPr="009F63C7" w:rsidRDefault="00DD2935" w:rsidP="00DD2935">
            <w:pPr>
              <w:rPr>
                <w:rFonts w:asciiTheme="majorHAnsi" w:hAnsiTheme="majorHAnsi" w:cstheme="majorHAnsi"/>
              </w:rPr>
            </w:pPr>
            <w:r w:rsidRPr="009F63C7">
              <w:rPr>
                <w:rFonts w:asciiTheme="majorHAnsi" w:hAnsiTheme="majorHAnsi" w:cstheme="majorHAnsi"/>
              </w:rPr>
              <w:t>Taken from proposal</w:t>
            </w:r>
          </w:p>
        </w:tc>
        <w:tc>
          <w:tcPr>
            <w:tcW w:w="441" w:type="pct"/>
            <w:tcBorders>
              <w:top w:val="single" w:sz="4" w:space="0" w:color="auto"/>
            </w:tcBorders>
            <w:shd w:val="clear" w:color="auto" w:fill="D9EAD3"/>
            <w:tcMar>
              <w:top w:w="100" w:type="dxa"/>
              <w:left w:w="100" w:type="dxa"/>
              <w:bottom w:w="100" w:type="dxa"/>
              <w:right w:w="100" w:type="dxa"/>
            </w:tcMar>
          </w:tcPr>
          <w:p w14:paraId="3DE537F4" w14:textId="77777777" w:rsidR="00DD2935" w:rsidRPr="009F63C7" w:rsidRDefault="00DD2935" w:rsidP="00DD2935">
            <w:pPr>
              <w:ind w:right="100"/>
              <w:jc w:val="center"/>
              <w:rPr>
                <w:rFonts w:asciiTheme="majorHAnsi" w:hAnsiTheme="majorHAnsi" w:cstheme="majorHAnsi"/>
              </w:rPr>
            </w:pPr>
            <w:r w:rsidRPr="009F63C7">
              <w:rPr>
                <w:rFonts w:asciiTheme="majorHAnsi" w:hAnsiTheme="majorHAnsi" w:cstheme="majorHAnsi"/>
              </w:rPr>
              <w:t>Taken from POWB/ proposal</w:t>
            </w:r>
          </w:p>
        </w:tc>
        <w:tc>
          <w:tcPr>
            <w:tcW w:w="432" w:type="pct"/>
            <w:tcBorders>
              <w:top w:val="single" w:sz="4" w:space="0" w:color="auto"/>
            </w:tcBorders>
            <w:shd w:val="clear" w:color="auto" w:fill="FFFFFF"/>
          </w:tcPr>
          <w:p w14:paraId="1DA04E2F" w14:textId="77777777" w:rsidR="00DD2935" w:rsidRPr="009F63C7" w:rsidRDefault="00DD2935" w:rsidP="00DD2935">
            <w:pPr>
              <w:ind w:right="100"/>
              <w:jc w:val="center"/>
              <w:rPr>
                <w:rFonts w:asciiTheme="majorHAnsi" w:hAnsiTheme="majorHAnsi" w:cstheme="majorHAnsi"/>
                <w:highlight w:val="white"/>
              </w:rPr>
            </w:pPr>
          </w:p>
        </w:tc>
        <w:tc>
          <w:tcPr>
            <w:tcW w:w="373" w:type="pct"/>
            <w:tcBorders>
              <w:top w:val="single" w:sz="4" w:space="0" w:color="auto"/>
            </w:tcBorders>
            <w:shd w:val="clear" w:color="auto" w:fill="FFFFFF"/>
            <w:tcMar>
              <w:top w:w="100" w:type="dxa"/>
              <w:left w:w="100" w:type="dxa"/>
              <w:bottom w:w="100" w:type="dxa"/>
              <w:right w:w="100" w:type="dxa"/>
            </w:tcMar>
          </w:tcPr>
          <w:p w14:paraId="29E41095" w14:textId="77777777" w:rsidR="00DD2935" w:rsidRPr="009F63C7" w:rsidRDefault="00DD2935" w:rsidP="00DD2935">
            <w:pPr>
              <w:ind w:right="100"/>
              <w:jc w:val="center"/>
              <w:rPr>
                <w:rFonts w:asciiTheme="majorHAnsi" w:hAnsiTheme="majorHAnsi" w:cstheme="majorHAnsi"/>
                <w:highlight w:val="white"/>
              </w:rPr>
            </w:pPr>
            <w:r w:rsidRPr="009F63C7">
              <w:rPr>
                <w:rFonts w:asciiTheme="majorHAnsi" w:hAnsiTheme="majorHAnsi" w:cstheme="majorHAnsi"/>
                <w:highlight w:val="white"/>
              </w:rPr>
              <w:t xml:space="preserve">To be filled at reporting </w:t>
            </w:r>
          </w:p>
          <w:p w14:paraId="2D5CDDC0" w14:textId="77777777" w:rsidR="00DD2935" w:rsidRPr="009F63C7" w:rsidRDefault="00DD2935" w:rsidP="00DD2935">
            <w:pPr>
              <w:ind w:right="100"/>
              <w:jc w:val="center"/>
              <w:rPr>
                <w:rFonts w:asciiTheme="majorHAnsi" w:hAnsiTheme="majorHAnsi" w:cstheme="majorHAnsi"/>
                <w:highlight w:val="white"/>
              </w:rPr>
            </w:pPr>
          </w:p>
          <w:p w14:paraId="5EB3DC60" w14:textId="77777777" w:rsidR="00DD2935" w:rsidRPr="009F63C7" w:rsidRDefault="00DD2935" w:rsidP="00DD2935">
            <w:pPr>
              <w:ind w:right="100"/>
              <w:jc w:val="center"/>
              <w:rPr>
                <w:rFonts w:asciiTheme="majorHAnsi" w:hAnsiTheme="majorHAnsi" w:cstheme="majorHAnsi"/>
                <w:highlight w:val="white"/>
              </w:rPr>
            </w:pPr>
            <w:r w:rsidRPr="009F63C7">
              <w:rPr>
                <w:rFonts w:asciiTheme="majorHAnsi" w:hAnsiTheme="majorHAnsi" w:cstheme="majorHAnsi"/>
                <w:highlight w:val="white"/>
              </w:rPr>
              <w:t>(prefilled from previous year, for updating)</w:t>
            </w:r>
          </w:p>
        </w:tc>
        <w:tc>
          <w:tcPr>
            <w:tcW w:w="505" w:type="pct"/>
            <w:tcBorders>
              <w:top w:val="single" w:sz="4" w:space="0" w:color="auto"/>
            </w:tcBorders>
            <w:shd w:val="clear" w:color="auto" w:fill="D9EAD3"/>
            <w:tcMar>
              <w:top w:w="100" w:type="dxa"/>
              <w:left w:w="100" w:type="dxa"/>
              <w:bottom w:w="100" w:type="dxa"/>
              <w:right w:w="100" w:type="dxa"/>
            </w:tcMar>
          </w:tcPr>
          <w:p w14:paraId="351A2F9C" w14:textId="77777777" w:rsidR="00DD2935" w:rsidRPr="009F63C7" w:rsidRDefault="00DD2935" w:rsidP="00DD2935">
            <w:pPr>
              <w:ind w:right="100"/>
              <w:jc w:val="center"/>
              <w:rPr>
                <w:rFonts w:asciiTheme="majorHAnsi" w:hAnsiTheme="majorHAnsi" w:cstheme="majorHAnsi"/>
              </w:rPr>
            </w:pPr>
            <w:r w:rsidRPr="009F63C7">
              <w:rPr>
                <w:rFonts w:asciiTheme="majorHAnsi" w:hAnsiTheme="majorHAnsi" w:cstheme="majorHAnsi"/>
              </w:rPr>
              <w:t>Taken from POWB (to allow for changes)</w:t>
            </w:r>
          </w:p>
        </w:tc>
        <w:tc>
          <w:tcPr>
            <w:tcW w:w="379" w:type="pct"/>
            <w:shd w:val="clear" w:color="auto" w:fill="FFFFFF"/>
            <w:tcMar>
              <w:top w:w="100" w:type="dxa"/>
              <w:left w:w="100" w:type="dxa"/>
              <w:bottom w:w="100" w:type="dxa"/>
              <w:right w:w="100" w:type="dxa"/>
            </w:tcMar>
          </w:tcPr>
          <w:p w14:paraId="48A13A41" w14:textId="77777777" w:rsidR="00DD2935" w:rsidRPr="009F63C7" w:rsidRDefault="00DD2935" w:rsidP="00DD2935">
            <w:pPr>
              <w:jc w:val="center"/>
              <w:rPr>
                <w:rFonts w:asciiTheme="majorHAnsi" w:hAnsiTheme="majorHAnsi" w:cstheme="majorHAnsi"/>
              </w:rPr>
            </w:pPr>
            <w:r w:rsidRPr="009F63C7">
              <w:rPr>
                <w:rFonts w:asciiTheme="majorHAnsi" w:hAnsiTheme="majorHAnsi" w:cstheme="majorHAnsi"/>
              </w:rPr>
              <w:t>to be filled at reporting</w:t>
            </w:r>
          </w:p>
          <w:p w14:paraId="6C44AD7F" w14:textId="77777777" w:rsidR="00DD2935" w:rsidRPr="009F63C7" w:rsidRDefault="00DD2935" w:rsidP="00DD2935">
            <w:pPr>
              <w:jc w:val="center"/>
              <w:rPr>
                <w:rFonts w:asciiTheme="majorHAnsi" w:hAnsiTheme="majorHAnsi" w:cstheme="majorHAnsi"/>
              </w:rPr>
            </w:pPr>
          </w:p>
          <w:p w14:paraId="21C0D1D5" w14:textId="77777777" w:rsidR="00DD2935" w:rsidRPr="009F63C7" w:rsidRDefault="00DD2935" w:rsidP="00DD2935">
            <w:pPr>
              <w:jc w:val="center"/>
              <w:rPr>
                <w:rFonts w:asciiTheme="majorHAnsi" w:hAnsiTheme="majorHAnsi" w:cstheme="majorHAnsi"/>
              </w:rPr>
            </w:pPr>
            <w:r w:rsidRPr="009F63C7">
              <w:rPr>
                <w:rFonts w:asciiTheme="majorHAnsi" w:hAnsiTheme="majorHAnsi" w:cstheme="majorHAnsi"/>
                <w:highlight w:val="white"/>
              </w:rPr>
              <w:t>(prefilled from previous year, for updating)</w:t>
            </w:r>
            <w:r w:rsidRPr="009F63C7">
              <w:rPr>
                <w:rFonts w:asciiTheme="majorHAnsi" w:hAnsiTheme="majorHAnsi" w:cstheme="majorHAnsi"/>
              </w:rPr>
              <w:t xml:space="preserve"> </w:t>
            </w:r>
          </w:p>
        </w:tc>
        <w:tc>
          <w:tcPr>
            <w:tcW w:w="552" w:type="pct"/>
            <w:shd w:val="clear" w:color="auto" w:fill="FFFFFF"/>
            <w:tcMar>
              <w:top w:w="100" w:type="dxa"/>
              <w:left w:w="100" w:type="dxa"/>
              <w:bottom w:w="100" w:type="dxa"/>
              <w:right w:w="100" w:type="dxa"/>
            </w:tcMar>
          </w:tcPr>
          <w:p w14:paraId="7D3E930B" w14:textId="77777777" w:rsidR="00DD2935" w:rsidRPr="009F63C7" w:rsidRDefault="00DD2935" w:rsidP="00DD2935">
            <w:pPr>
              <w:jc w:val="center"/>
              <w:rPr>
                <w:rFonts w:asciiTheme="majorHAnsi" w:hAnsiTheme="majorHAnsi" w:cstheme="majorHAnsi"/>
              </w:rPr>
            </w:pPr>
            <w:r w:rsidRPr="009F63C7">
              <w:rPr>
                <w:rFonts w:asciiTheme="majorHAnsi" w:hAnsiTheme="majorHAnsi" w:cstheme="majorHAnsi"/>
              </w:rPr>
              <w:t xml:space="preserve">to be filled at reporting </w:t>
            </w:r>
          </w:p>
        </w:tc>
        <w:tc>
          <w:tcPr>
            <w:tcW w:w="1997" w:type="pct"/>
            <w:shd w:val="clear" w:color="auto" w:fill="FFFFFF"/>
          </w:tcPr>
          <w:p w14:paraId="649C15D0" w14:textId="77777777" w:rsidR="00DD2935" w:rsidRPr="009F63C7" w:rsidRDefault="00DD2935" w:rsidP="00DD2935">
            <w:pPr>
              <w:jc w:val="center"/>
              <w:rPr>
                <w:rFonts w:asciiTheme="majorHAnsi" w:hAnsiTheme="majorHAnsi" w:cstheme="majorHAnsi"/>
              </w:rPr>
            </w:pPr>
          </w:p>
        </w:tc>
      </w:tr>
    </w:tbl>
    <w:p w14:paraId="7819F6BF" w14:textId="77777777" w:rsidR="006E40C8" w:rsidRDefault="006E40C8" w:rsidP="006E40C8"/>
    <w:p w14:paraId="171BE65D" w14:textId="77777777" w:rsidR="006E40C8" w:rsidRPr="00413F1B" w:rsidRDefault="006E40C8" w:rsidP="006E40C8">
      <w:pPr>
        <w:pStyle w:val="Heading1"/>
        <w:rPr>
          <w:color w:val="BFBFBF" w:themeColor="background1" w:themeShade="BF"/>
          <w:sz w:val="24"/>
        </w:rPr>
      </w:pPr>
      <w:bookmarkStart w:id="21" w:name="_Toc531191907"/>
      <w:bookmarkStart w:id="22" w:name="_Ref531211898"/>
      <w:bookmarkStart w:id="23" w:name="_Ref531214738"/>
      <w:bookmarkStart w:id="24" w:name="_Toc531264773"/>
      <w:bookmarkStart w:id="25" w:name="_Hlk531117223"/>
      <w:r w:rsidRPr="00413F1B">
        <w:rPr>
          <w:color w:val="BFBFBF" w:themeColor="background1" w:themeShade="BF"/>
          <w:sz w:val="24"/>
        </w:rPr>
        <w:t xml:space="preserve">Table </w:t>
      </w:r>
      <w:r>
        <w:rPr>
          <w:color w:val="BFBFBF" w:themeColor="background1" w:themeShade="BF"/>
          <w:sz w:val="24"/>
        </w:rPr>
        <w:t>2</w:t>
      </w:r>
      <w:r w:rsidRPr="00413F1B">
        <w:rPr>
          <w:color w:val="BFBFBF" w:themeColor="background1" w:themeShade="BF"/>
          <w:sz w:val="24"/>
        </w:rPr>
        <w:t>: Evidence on Progress towards SRF targets (Sphere of interest)</w:t>
      </w:r>
      <w:bookmarkEnd w:id="21"/>
      <w:bookmarkEnd w:id="22"/>
      <w:bookmarkEnd w:id="23"/>
      <w:bookmarkEnd w:id="24"/>
      <w:r w:rsidRPr="00413F1B">
        <w:rPr>
          <w:color w:val="BFBFBF" w:themeColor="background1" w:themeShade="BF"/>
          <w:sz w:val="24"/>
        </w:rPr>
        <w:t xml:space="preserve"> </w:t>
      </w:r>
    </w:p>
    <w:p w14:paraId="246143B2" w14:textId="77777777" w:rsidR="006E40C8" w:rsidRDefault="006E40C8" w:rsidP="006E40C8">
      <w:pPr>
        <w:widowControl w:val="0"/>
        <w:pBdr>
          <w:top w:val="nil"/>
          <w:left w:val="nil"/>
          <w:bottom w:val="nil"/>
          <w:right w:val="nil"/>
          <w:between w:val="nil"/>
        </w:pBdr>
        <w:rPr>
          <w:color w:val="000000"/>
        </w:rPr>
      </w:pPr>
    </w:p>
    <w:p w14:paraId="426EC933" w14:textId="77777777" w:rsidR="006E40C8" w:rsidRDefault="006E40C8" w:rsidP="006E40C8">
      <w:pPr>
        <w:widowControl w:val="0"/>
        <w:pBdr>
          <w:top w:val="nil"/>
          <w:left w:val="nil"/>
          <w:bottom w:val="nil"/>
          <w:right w:val="nil"/>
          <w:between w:val="nil"/>
        </w:pBdr>
        <w:rPr>
          <w:color w:val="000000"/>
        </w:rPr>
      </w:pPr>
      <w:r>
        <w:rPr>
          <w:color w:val="000000"/>
        </w:rPr>
        <w:t xml:space="preserve">Instructions:  </w:t>
      </w:r>
    </w:p>
    <w:p w14:paraId="2F297295" w14:textId="77777777" w:rsidR="006E40C8" w:rsidRDefault="006E40C8" w:rsidP="006E40C8">
      <w:pPr>
        <w:widowControl w:val="0"/>
        <w:pBdr>
          <w:top w:val="nil"/>
          <w:left w:val="nil"/>
          <w:bottom w:val="nil"/>
          <w:right w:val="nil"/>
          <w:between w:val="nil"/>
        </w:pBdr>
        <w:rPr>
          <w:color w:val="000000"/>
        </w:rPr>
      </w:pPr>
    </w:p>
    <w:p w14:paraId="641D9BCA" w14:textId="11AC041D" w:rsidR="006E40C8" w:rsidRDefault="006E40C8" w:rsidP="006E40C8">
      <w:pPr>
        <w:widowControl w:val="0"/>
        <w:pBdr>
          <w:top w:val="nil"/>
          <w:left w:val="nil"/>
          <w:bottom w:val="nil"/>
          <w:right w:val="nil"/>
          <w:between w:val="nil"/>
        </w:pBdr>
        <w:rPr>
          <w:color w:val="000000"/>
        </w:rPr>
      </w:pPr>
      <w:r>
        <w:rPr>
          <w:color w:val="000000"/>
        </w:rPr>
        <w:t>Please complete this table with any available high-quality evidence on progress that was published or made available in 201</w:t>
      </w:r>
      <w:r w:rsidR="00B92662">
        <w:rPr>
          <w:color w:val="000000"/>
        </w:rPr>
        <w:t>9</w:t>
      </w:r>
      <w:r>
        <w:rPr>
          <w:color w:val="000000"/>
        </w:rPr>
        <w:t xml:space="preserve">.   Do not hesitate to state, “no new evidence available this year”, in column 2 if necessary, since we are trying to demonstrate evidence gaps and the need for additional funding for this area.   </w:t>
      </w:r>
    </w:p>
    <w:p w14:paraId="5EEE702B" w14:textId="77777777" w:rsidR="006E40C8" w:rsidRDefault="006E40C8" w:rsidP="006E40C8">
      <w:pPr>
        <w:widowControl w:val="0"/>
        <w:pBdr>
          <w:top w:val="nil"/>
          <w:left w:val="nil"/>
          <w:bottom w:val="nil"/>
          <w:right w:val="nil"/>
          <w:between w:val="nil"/>
        </w:pBdr>
        <w:rPr>
          <w:color w:val="9900CC"/>
        </w:rPr>
      </w:pPr>
    </w:p>
    <w:p w14:paraId="7C520F03" w14:textId="77777777" w:rsidR="006E40C8" w:rsidRPr="00C33273" w:rsidRDefault="006E40C8" w:rsidP="006E40C8">
      <w:pPr>
        <w:widowControl w:val="0"/>
        <w:pBdr>
          <w:top w:val="nil"/>
          <w:left w:val="nil"/>
          <w:bottom w:val="nil"/>
          <w:right w:val="nil"/>
          <w:between w:val="nil"/>
        </w:pBdr>
      </w:pPr>
      <w:r w:rsidRPr="00C33273">
        <w:t xml:space="preserve">For examples of how this information can be phrased and referenced, please see Annex Table A </w:t>
      </w:r>
      <w:hyperlink r:id="rId34">
        <w:r w:rsidRPr="00C33273">
          <w:rPr>
            <w:u w:val="single"/>
          </w:rPr>
          <w:t>here</w:t>
        </w:r>
      </w:hyperlink>
      <w:r w:rsidRPr="00C33273">
        <w:t xml:space="preserve"> in the previous CGIAR Annual Performance Report.  Please provide information on all relevant SRF targets for a single study or innovation, to the extent possible.  Example:  please see in the 2017 report Annex Table A how findings from a single rice review have been allocated between targets for adoption, poverty and yield increases.   Insofar as possible, please also disaggregate the effect of different innovations (e.g. in the above example NERICA rice could potentially be separated from another group of CGIAR rice varieties).    </w:t>
      </w:r>
    </w:p>
    <w:p w14:paraId="7316EDC8" w14:textId="77777777" w:rsidR="006E40C8" w:rsidRPr="00C33273" w:rsidRDefault="006E40C8" w:rsidP="006E40C8">
      <w:pPr>
        <w:widowControl w:val="0"/>
        <w:pBdr>
          <w:top w:val="nil"/>
          <w:left w:val="nil"/>
          <w:bottom w:val="nil"/>
          <w:right w:val="nil"/>
          <w:between w:val="nil"/>
        </w:pBdr>
      </w:pPr>
    </w:p>
    <w:p w14:paraId="51AD100F" w14:textId="77777777" w:rsidR="006E40C8" w:rsidRPr="00B15D1B" w:rsidRDefault="006E40C8" w:rsidP="006E40C8">
      <w:pPr>
        <w:widowControl w:val="0"/>
        <w:rPr>
          <w:color w:val="FF0000"/>
        </w:rPr>
      </w:pPr>
      <w:r w:rsidRPr="00C33273">
        <w:t xml:space="preserve">If the adoption or impact data comes from a relevant innovation or contribution of the CGIAR prior to the CRP start-up (e.g. varieties released before the CRP start-up, which for most CRPs would be approximately 2012), then please support statements with published references, as shown in the 2017 Annual Report Annex Table A above.   </w:t>
      </w:r>
      <w:r w:rsidRPr="00C33273">
        <w:rPr>
          <w:u w:val="single"/>
        </w:rPr>
        <w:t>Nearly all adoption or impact studies fall into the above category.</w:t>
      </w:r>
      <w:r w:rsidRPr="00B15D1B">
        <w:rPr>
          <w:color w:val="7030A0"/>
          <w:u w:val="single"/>
        </w:rPr>
        <w:t xml:space="preserve">  </w:t>
      </w:r>
      <w:r w:rsidRPr="00B15D1B">
        <w:rPr>
          <w:color w:val="7030A0"/>
        </w:rPr>
        <w:t xml:space="preserve">  </w:t>
      </w:r>
      <w:r w:rsidRPr="00A418A6">
        <w:rPr>
          <w:color w:val="7B7B7B" w:themeColor="accent3" w:themeShade="BF"/>
        </w:rPr>
        <w:t xml:space="preserve">There are (as yet) a </w:t>
      </w:r>
      <w:r w:rsidRPr="00A418A6">
        <w:rPr>
          <w:color w:val="7B7B7B" w:themeColor="accent3" w:themeShade="BF"/>
          <w:u w:val="single"/>
        </w:rPr>
        <w:t>few</w:t>
      </w:r>
      <w:r w:rsidRPr="00A418A6">
        <w:rPr>
          <w:color w:val="7B7B7B" w:themeColor="accent3" w:themeShade="BF"/>
        </w:rPr>
        <w:t xml:space="preserve"> cases (two in 2017) in which the estimated figures for at-scale adoption or impact result from an innovation released within the CRP period, for example some biofortification numbers in 2017.  If this is the case, then the statement </w:t>
      </w:r>
      <w:r w:rsidRPr="00A418A6">
        <w:rPr>
          <w:color w:val="7B7B7B" w:themeColor="accent3" w:themeShade="BF"/>
          <w:u w:val="single"/>
        </w:rPr>
        <w:t>must</w:t>
      </w:r>
      <w:r w:rsidRPr="00A418A6">
        <w:rPr>
          <w:color w:val="7B7B7B" w:themeColor="accent3" w:themeShade="BF"/>
        </w:rPr>
        <w:t xml:space="preserve"> be supported by a link to an Outcome/ Impact Case Report </w:t>
      </w:r>
      <w:r w:rsidRPr="00A418A6">
        <w:rPr>
          <w:b/>
          <w:color w:val="7B7B7B" w:themeColor="accent3" w:themeShade="BF"/>
        </w:rPr>
        <w:t>Maturity Level 3</w:t>
      </w:r>
      <w:r w:rsidRPr="00A418A6">
        <w:rPr>
          <w:color w:val="7B7B7B" w:themeColor="accent3" w:themeShade="BF"/>
        </w:rPr>
        <w:t xml:space="preserve"> (or if not, with unique identifier from any appropriate repository</w:t>
      </w:r>
      <w:r>
        <w:rPr>
          <w:color w:val="7B7B7B" w:themeColor="accent3" w:themeShade="BF"/>
        </w:rPr>
        <w:t xml:space="preserve"> or publisher website</w:t>
      </w:r>
      <w:r w:rsidRPr="00A418A6">
        <w:rPr>
          <w:color w:val="7B7B7B" w:themeColor="accent3" w:themeShade="BF"/>
        </w:rPr>
        <w:t>).</w:t>
      </w:r>
      <w:r w:rsidRPr="00B15D1B">
        <w:rPr>
          <w:color w:val="FF0000"/>
        </w:rPr>
        <w:t xml:space="preserve"> </w:t>
      </w:r>
    </w:p>
    <w:p w14:paraId="774DF9C5" w14:textId="77777777" w:rsidR="006E40C8" w:rsidRDefault="006E40C8" w:rsidP="006E40C8">
      <w:pPr>
        <w:widowControl w:val="0"/>
        <w:rPr>
          <w:color w:val="FF0000"/>
          <w:sz w:val="20"/>
          <w:szCs w:val="20"/>
        </w:rPr>
      </w:pPr>
    </w:p>
    <w:p w14:paraId="0573F11B" w14:textId="77777777" w:rsidR="006E40C8" w:rsidRDefault="006E40C8" w:rsidP="006E40C8">
      <w:pPr>
        <w:widowControl w:val="0"/>
        <w:rPr>
          <w:color w:val="FF0000"/>
          <w:sz w:val="20"/>
          <w:szCs w:val="20"/>
        </w:rPr>
      </w:pPr>
      <w:bookmarkStart w:id="26" w:name="_46r0co2" w:colFirst="0" w:colLast="0"/>
      <w:bookmarkEnd w:id="25"/>
      <w:bookmarkEnd w:id="26"/>
    </w:p>
    <w:tbl>
      <w:tblPr>
        <w:tblW w:w="144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5"/>
        <w:gridCol w:w="5245"/>
        <w:gridCol w:w="3660"/>
      </w:tblGrid>
      <w:tr w:rsidR="006E40C8" w14:paraId="7CA50811" w14:textId="77777777" w:rsidTr="002D293F">
        <w:trPr>
          <w:trHeight w:val="1582"/>
          <w:jc w:val="center"/>
        </w:trPr>
        <w:tc>
          <w:tcPr>
            <w:tcW w:w="558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BF55A12" w14:textId="77777777" w:rsidR="006E40C8" w:rsidRDefault="006E40C8" w:rsidP="002D293F">
            <w:pPr>
              <w:keepNext/>
              <w:widowControl w:val="0"/>
              <w:jc w:val="center"/>
              <w:rPr>
                <w:b/>
                <w:sz w:val="20"/>
                <w:szCs w:val="20"/>
              </w:rPr>
            </w:pPr>
            <w:r>
              <w:rPr>
                <w:b/>
                <w:sz w:val="20"/>
                <w:szCs w:val="20"/>
              </w:rPr>
              <w:lastRenderedPageBreak/>
              <w:t>SLO Target (2022)</w:t>
            </w:r>
          </w:p>
          <w:p w14:paraId="1E8D4666" w14:textId="77777777" w:rsidR="006E40C8" w:rsidRDefault="006E40C8" w:rsidP="002D293F">
            <w:pPr>
              <w:keepNext/>
              <w:widowControl w:val="0"/>
              <w:rPr>
                <w:b/>
                <w:sz w:val="20"/>
                <w:szCs w:val="20"/>
              </w:rPr>
            </w:pPr>
          </w:p>
          <w:p w14:paraId="2CD27313" w14:textId="77777777" w:rsidR="006E40C8" w:rsidRDefault="006E40C8" w:rsidP="002D293F">
            <w:pPr>
              <w:keepNext/>
              <w:widowControl w:val="0"/>
              <w:rPr>
                <w:b/>
                <w:sz w:val="20"/>
                <w:szCs w:val="20"/>
              </w:rPr>
            </w:pPr>
          </w:p>
        </w:tc>
        <w:tc>
          <w:tcPr>
            <w:tcW w:w="52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0956656" w14:textId="77777777" w:rsidR="006E40C8" w:rsidRPr="00F45CE6" w:rsidRDefault="006E40C8" w:rsidP="002D293F">
            <w:pPr>
              <w:keepNext/>
              <w:widowControl w:val="0"/>
              <w:rPr>
                <w:b/>
                <w:sz w:val="20"/>
                <w:szCs w:val="20"/>
              </w:rPr>
            </w:pPr>
            <w:r w:rsidRPr="00F45CE6">
              <w:rPr>
                <w:b/>
                <w:sz w:val="20"/>
                <w:szCs w:val="20"/>
              </w:rPr>
              <w:t xml:space="preserve">Brief summary of new evidence of CGIAR contribution </w:t>
            </w:r>
          </w:p>
          <w:p w14:paraId="1E83C131" w14:textId="77777777" w:rsidR="006E40C8" w:rsidRPr="00F45CE6" w:rsidRDefault="006E40C8" w:rsidP="002D293F">
            <w:pPr>
              <w:keepNext/>
              <w:widowControl w:val="0"/>
              <w:rPr>
                <w:b/>
                <w:sz w:val="20"/>
                <w:szCs w:val="20"/>
              </w:rPr>
            </w:pPr>
          </w:p>
          <w:p w14:paraId="3F97475F" w14:textId="51BC53C3" w:rsidR="006E40C8" w:rsidRDefault="006E40C8" w:rsidP="002D293F">
            <w:pPr>
              <w:keepNext/>
              <w:widowControl w:val="0"/>
              <w:rPr>
                <w:i/>
                <w:sz w:val="20"/>
                <w:szCs w:val="20"/>
              </w:rPr>
            </w:pPr>
            <w:r w:rsidRPr="00F45CE6">
              <w:rPr>
                <w:sz w:val="20"/>
                <w:szCs w:val="20"/>
              </w:rPr>
              <w:t xml:space="preserve">[Put N/A if the specific SRF target is not applicable to your </w:t>
            </w:r>
            <w:r>
              <w:rPr>
                <w:sz w:val="20"/>
                <w:szCs w:val="20"/>
              </w:rPr>
              <w:t>FP</w:t>
            </w:r>
            <w:r w:rsidRPr="00F45CE6">
              <w:rPr>
                <w:sz w:val="20"/>
                <w:szCs w:val="20"/>
              </w:rPr>
              <w:t>.  Put “No new evidence in 201</w:t>
            </w:r>
            <w:r w:rsidR="00B92662">
              <w:rPr>
                <w:sz w:val="20"/>
                <w:szCs w:val="20"/>
              </w:rPr>
              <w:t>9</w:t>
            </w:r>
            <w:r w:rsidRPr="00F45CE6">
              <w:rPr>
                <w:sz w:val="20"/>
                <w:szCs w:val="20"/>
              </w:rPr>
              <w:t>” if the target is potentially relevant, but there is no new evidence available</w:t>
            </w:r>
            <w:r w:rsidRPr="00F45CE6">
              <w:rPr>
                <w:b/>
                <w:sz w:val="20"/>
                <w:szCs w:val="20"/>
              </w:rPr>
              <w:t xml:space="preserve">.  </w:t>
            </w:r>
            <w:r w:rsidRPr="00F45CE6">
              <w:rPr>
                <w:i/>
                <w:sz w:val="20"/>
                <w:szCs w:val="20"/>
              </w:rPr>
              <w:t>Spell out all acronyms.]</w:t>
            </w:r>
          </w:p>
          <w:p w14:paraId="2999E7CC" w14:textId="77777777" w:rsidR="006E40C8" w:rsidRDefault="006E40C8" w:rsidP="002D293F">
            <w:pPr>
              <w:keepNext/>
              <w:widowControl w:val="0"/>
              <w:rPr>
                <w:i/>
                <w:sz w:val="20"/>
                <w:szCs w:val="20"/>
              </w:rPr>
            </w:pPr>
          </w:p>
          <w:p w14:paraId="105E4040" w14:textId="77777777" w:rsidR="006E40C8" w:rsidRPr="00F45CE6" w:rsidRDefault="006E40C8" w:rsidP="002D293F">
            <w:pPr>
              <w:keepNext/>
              <w:widowControl w:val="0"/>
              <w:rPr>
                <w:b/>
                <w:sz w:val="20"/>
                <w:szCs w:val="20"/>
              </w:rPr>
            </w:pPr>
            <w:r>
              <w:rPr>
                <w:i/>
                <w:sz w:val="20"/>
                <w:szCs w:val="20"/>
              </w:rPr>
              <w:t>Maximum 150 words per entry.</w:t>
            </w:r>
          </w:p>
        </w:tc>
        <w:tc>
          <w:tcPr>
            <w:tcW w:w="3660" w:type="dxa"/>
            <w:tcBorders>
              <w:top w:val="single" w:sz="8" w:space="0" w:color="000000"/>
              <w:left w:val="single" w:sz="8" w:space="0" w:color="000000"/>
              <w:bottom w:val="single" w:sz="8" w:space="0" w:color="000000"/>
              <w:right w:val="single" w:sz="8" w:space="0" w:color="000000"/>
            </w:tcBorders>
            <w:shd w:val="clear" w:color="auto" w:fill="FFF2CC"/>
          </w:tcPr>
          <w:p w14:paraId="0AD38123" w14:textId="77777777" w:rsidR="006E40C8" w:rsidRPr="00F45CE6" w:rsidRDefault="006E40C8" w:rsidP="002D293F">
            <w:pPr>
              <w:keepNext/>
              <w:widowControl w:val="0"/>
              <w:rPr>
                <w:sz w:val="20"/>
                <w:szCs w:val="20"/>
              </w:rPr>
            </w:pPr>
            <w:r w:rsidRPr="00F45CE6">
              <w:rPr>
                <w:b/>
                <w:sz w:val="20"/>
                <w:szCs w:val="20"/>
              </w:rPr>
              <w:t xml:space="preserve">Expected additional contribution before end of 2022 </w:t>
            </w:r>
            <w:r w:rsidRPr="00F45CE6">
              <w:rPr>
                <w:b/>
                <w:sz w:val="20"/>
                <w:szCs w:val="20"/>
              </w:rPr>
              <w:br/>
            </w:r>
            <w:r w:rsidRPr="00F45CE6">
              <w:rPr>
                <w:sz w:val="20"/>
                <w:szCs w:val="20"/>
              </w:rPr>
              <w:t>(if not already fully covered).</w:t>
            </w:r>
          </w:p>
          <w:p w14:paraId="6F0DE3CB" w14:textId="77777777" w:rsidR="006E40C8" w:rsidRPr="00F45CE6" w:rsidRDefault="006E40C8" w:rsidP="002D293F">
            <w:pPr>
              <w:keepNext/>
              <w:widowControl w:val="0"/>
              <w:rPr>
                <w:sz w:val="20"/>
                <w:szCs w:val="20"/>
              </w:rPr>
            </w:pPr>
          </w:p>
          <w:p w14:paraId="02E8D8E9" w14:textId="77777777" w:rsidR="006E40C8" w:rsidRDefault="006E40C8" w:rsidP="002D293F">
            <w:pPr>
              <w:keepNext/>
              <w:widowControl w:val="0"/>
              <w:rPr>
                <w:b/>
                <w:i/>
                <w:sz w:val="20"/>
                <w:szCs w:val="20"/>
              </w:rPr>
            </w:pPr>
            <w:r w:rsidRPr="00F45CE6">
              <w:rPr>
                <w:b/>
                <w:i/>
                <w:sz w:val="20"/>
                <w:szCs w:val="20"/>
              </w:rPr>
              <w:t>Optional narrative.  Evidence not required.</w:t>
            </w:r>
          </w:p>
          <w:p w14:paraId="39D6275B" w14:textId="77777777" w:rsidR="006E40C8" w:rsidRDefault="006E40C8" w:rsidP="002D293F">
            <w:pPr>
              <w:keepNext/>
              <w:widowControl w:val="0"/>
              <w:rPr>
                <w:b/>
                <w:i/>
                <w:sz w:val="20"/>
                <w:szCs w:val="20"/>
              </w:rPr>
            </w:pPr>
          </w:p>
          <w:p w14:paraId="67B09730" w14:textId="77777777" w:rsidR="006E40C8" w:rsidRPr="00853D9C" w:rsidRDefault="006E40C8" w:rsidP="002D293F">
            <w:pPr>
              <w:keepNext/>
              <w:widowControl w:val="0"/>
              <w:rPr>
                <w:i/>
                <w:sz w:val="20"/>
                <w:szCs w:val="20"/>
              </w:rPr>
            </w:pPr>
            <w:r w:rsidRPr="00853D9C">
              <w:rPr>
                <w:i/>
                <w:sz w:val="20"/>
                <w:szCs w:val="20"/>
              </w:rPr>
              <w:t>Max</w:t>
            </w:r>
            <w:r>
              <w:rPr>
                <w:i/>
                <w:sz w:val="20"/>
                <w:szCs w:val="20"/>
              </w:rPr>
              <w:t>.</w:t>
            </w:r>
            <w:r w:rsidRPr="00853D9C">
              <w:rPr>
                <w:i/>
                <w:sz w:val="20"/>
                <w:szCs w:val="20"/>
              </w:rPr>
              <w:t xml:space="preserve"> </w:t>
            </w:r>
            <w:r>
              <w:rPr>
                <w:i/>
                <w:sz w:val="20"/>
                <w:szCs w:val="20"/>
              </w:rPr>
              <w:t>100</w:t>
            </w:r>
            <w:r w:rsidRPr="00853D9C">
              <w:rPr>
                <w:i/>
                <w:sz w:val="20"/>
                <w:szCs w:val="20"/>
              </w:rPr>
              <w:t xml:space="preserve"> words</w:t>
            </w:r>
          </w:p>
        </w:tc>
      </w:tr>
      <w:tr w:rsidR="006E40C8" w14:paraId="6B9CB4F8" w14:textId="77777777" w:rsidTr="002D293F">
        <w:trPr>
          <w:trHeight w:val="594"/>
          <w:jc w:val="center"/>
        </w:trPr>
        <w:tc>
          <w:tcPr>
            <w:tcW w:w="5585" w:type="dxa"/>
            <w:tcBorders>
              <w:top w:val="single" w:sz="8" w:space="0" w:color="000000"/>
            </w:tcBorders>
            <w:shd w:val="clear" w:color="auto" w:fill="FFF2CC"/>
            <w:tcMar>
              <w:top w:w="100" w:type="dxa"/>
              <w:left w:w="100" w:type="dxa"/>
              <w:bottom w:w="100" w:type="dxa"/>
              <w:right w:w="100" w:type="dxa"/>
            </w:tcMar>
          </w:tcPr>
          <w:p w14:paraId="62336923" w14:textId="77777777" w:rsidR="006E40C8" w:rsidRDefault="006E40C8" w:rsidP="002D293F">
            <w:pPr>
              <w:keepNext/>
              <w:widowControl w:val="0"/>
              <w:rPr>
                <w:sz w:val="20"/>
                <w:szCs w:val="20"/>
              </w:rPr>
            </w:pPr>
            <w:r>
              <w:rPr>
                <w:b/>
                <w:sz w:val="20"/>
                <w:szCs w:val="20"/>
              </w:rPr>
              <w:t>1.1.</w:t>
            </w:r>
            <w:r>
              <w:rPr>
                <w:sz w:val="20"/>
                <w:szCs w:val="20"/>
              </w:rPr>
              <w:t xml:space="preserve"> 100 million more farm households have adopted improved varieties, breeds, trees, and/or management practices </w:t>
            </w:r>
          </w:p>
        </w:tc>
        <w:tc>
          <w:tcPr>
            <w:tcW w:w="5245" w:type="dxa"/>
            <w:tcBorders>
              <w:top w:val="single" w:sz="8" w:space="0" w:color="000000"/>
            </w:tcBorders>
            <w:tcMar>
              <w:top w:w="100" w:type="dxa"/>
              <w:left w:w="100" w:type="dxa"/>
              <w:bottom w:w="100" w:type="dxa"/>
              <w:right w:w="100" w:type="dxa"/>
            </w:tcMar>
          </w:tcPr>
          <w:p w14:paraId="69555262" w14:textId="4FB4F278" w:rsidR="006E40C8" w:rsidRPr="000304FD" w:rsidRDefault="00CF2C7C" w:rsidP="002D293F">
            <w:pPr>
              <w:keepNext/>
              <w:widowControl w:val="0"/>
              <w:rPr>
                <w:rFonts w:asciiTheme="majorHAnsi" w:hAnsiTheme="majorHAnsi" w:cstheme="majorHAnsi"/>
                <w:color w:val="000099"/>
                <w:sz w:val="20"/>
                <w:szCs w:val="20"/>
              </w:rPr>
            </w:pPr>
            <w:r w:rsidRPr="000304FD">
              <w:rPr>
                <w:rFonts w:asciiTheme="majorHAnsi" w:hAnsiTheme="majorHAnsi" w:cstheme="majorHAnsi"/>
                <w:color w:val="000099"/>
                <w:sz w:val="20"/>
                <w:szCs w:val="20"/>
              </w:rPr>
              <w:t>About</w:t>
            </w:r>
            <w:r w:rsidR="009D67A8" w:rsidRPr="000304FD">
              <w:rPr>
                <w:rFonts w:asciiTheme="majorHAnsi" w:hAnsiTheme="majorHAnsi" w:cstheme="majorHAnsi"/>
                <w:color w:val="000099"/>
                <w:sz w:val="20"/>
                <w:szCs w:val="20"/>
              </w:rPr>
              <w:t xml:space="preserve"> 110,</w:t>
            </w:r>
            <w:r w:rsidR="00A3618E" w:rsidRPr="000304FD">
              <w:rPr>
                <w:rFonts w:asciiTheme="majorHAnsi" w:hAnsiTheme="majorHAnsi" w:cstheme="majorHAnsi"/>
                <w:color w:val="000099"/>
                <w:sz w:val="20"/>
                <w:szCs w:val="20"/>
              </w:rPr>
              <w:t xml:space="preserve">000 people </w:t>
            </w:r>
            <w:r w:rsidR="000304FD" w:rsidRPr="000304FD">
              <w:rPr>
                <w:rFonts w:asciiTheme="majorHAnsi" w:hAnsiTheme="majorHAnsi" w:cstheme="majorHAnsi"/>
                <w:color w:val="000099"/>
                <w:sz w:val="20"/>
                <w:szCs w:val="20"/>
              </w:rPr>
              <w:t xml:space="preserve">have been reached with </w:t>
            </w:r>
            <w:r w:rsidR="00A3618E" w:rsidRPr="000304FD">
              <w:rPr>
                <w:rFonts w:asciiTheme="majorHAnsi" w:hAnsiTheme="majorHAnsi" w:cstheme="majorHAnsi"/>
                <w:color w:val="000099"/>
                <w:sz w:val="20"/>
                <w:szCs w:val="20"/>
              </w:rPr>
              <w:t>the double</w:t>
            </w:r>
            <w:r w:rsidR="000304FD" w:rsidRPr="000304FD">
              <w:rPr>
                <w:rFonts w:asciiTheme="majorHAnsi" w:hAnsiTheme="majorHAnsi" w:cstheme="majorHAnsi"/>
                <w:color w:val="000099"/>
                <w:sz w:val="20"/>
                <w:szCs w:val="20"/>
              </w:rPr>
              <w:t xml:space="preserve"> up legumes</w:t>
            </w:r>
          </w:p>
        </w:tc>
        <w:tc>
          <w:tcPr>
            <w:tcW w:w="3660" w:type="dxa"/>
            <w:tcBorders>
              <w:top w:val="single" w:sz="8" w:space="0" w:color="000000"/>
            </w:tcBorders>
          </w:tcPr>
          <w:p w14:paraId="09465E4F" w14:textId="6230CD36" w:rsidR="006E40C8" w:rsidRPr="00630060" w:rsidRDefault="00AF5A82" w:rsidP="00630060">
            <w:pPr>
              <w:rPr>
                <w:rFonts w:asciiTheme="majorHAnsi" w:hAnsiTheme="majorHAnsi" w:cstheme="majorHAnsi"/>
                <w:sz w:val="20"/>
                <w:szCs w:val="20"/>
              </w:rPr>
            </w:pPr>
            <w:r w:rsidRPr="003E607D">
              <w:rPr>
                <w:rFonts w:asciiTheme="majorHAnsi" w:hAnsiTheme="majorHAnsi" w:cstheme="majorHAnsi"/>
                <w:sz w:val="20"/>
                <w:szCs w:val="20"/>
              </w:rPr>
              <w:t xml:space="preserve">An important screening work </w:t>
            </w:r>
            <w:r w:rsidR="00D75846" w:rsidRPr="003E607D">
              <w:rPr>
                <w:rFonts w:asciiTheme="majorHAnsi" w:hAnsiTheme="majorHAnsi" w:cstheme="majorHAnsi"/>
                <w:sz w:val="20"/>
                <w:szCs w:val="20"/>
              </w:rPr>
              <w:t xml:space="preserve">of legume crop </w:t>
            </w:r>
            <w:r w:rsidR="003E607D" w:rsidRPr="003E607D">
              <w:rPr>
                <w:rFonts w:asciiTheme="majorHAnsi" w:hAnsiTheme="majorHAnsi" w:cstheme="majorHAnsi"/>
                <w:sz w:val="20"/>
                <w:szCs w:val="20"/>
              </w:rPr>
              <w:t>varieties</w:t>
            </w:r>
            <w:r w:rsidR="00D75846" w:rsidRPr="003E607D">
              <w:rPr>
                <w:rFonts w:asciiTheme="majorHAnsi" w:hAnsiTheme="majorHAnsi" w:cstheme="majorHAnsi"/>
                <w:sz w:val="20"/>
                <w:szCs w:val="20"/>
              </w:rPr>
              <w:t xml:space="preserve"> has been </w:t>
            </w:r>
            <w:r w:rsidR="003E607D" w:rsidRPr="003E607D">
              <w:rPr>
                <w:rFonts w:asciiTheme="majorHAnsi" w:hAnsiTheme="majorHAnsi" w:cstheme="majorHAnsi"/>
                <w:sz w:val="20"/>
                <w:szCs w:val="20"/>
              </w:rPr>
              <w:t>undertaken</w:t>
            </w:r>
            <w:r w:rsidR="00D75846" w:rsidRPr="003E607D">
              <w:rPr>
                <w:rFonts w:asciiTheme="majorHAnsi" w:hAnsiTheme="majorHAnsi" w:cstheme="majorHAnsi"/>
                <w:sz w:val="20"/>
                <w:szCs w:val="20"/>
              </w:rPr>
              <w:t xml:space="preserve"> in CoA3.2 for intercropping. </w:t>
            </w:r>
            <w:r w:rsidR="000665AE" w:rsidRPr="003E607D">
              <w:rPr>
                <w:rFonts w:asciiTheme="majorHAnsi" w:hAnsiTheme="majorHAnsi" w:cstheme="majorHAnsi"/>
                <w:sz w:val="20"/>
                <w:szCs w:val="20"/>
              </w:rPr>
              <w:t>This was complemented by d</w:t>
            </w:r>
            <w:r w:rsidRPr="003E607D">
              <w:rPr>
                <w:rFonts w:asciiTheme="majorHAnsi" w:hAnsiTheme="majorHAnsi" w:cstheme="majorHAnsi"/>
                <w:sz w:val="20"/>
                <w:szCs w:val="20"/>
              </w:rPr>
              <w:t xml:space="preserve">emonstration plots that </w:t>
            </w:r>
            <w:r w:rsidR="000665AE" w:rsidRPr="003E607D">
              <w:rPr>
                <w:rFonts w:asciiTheme="majorHAnsi" w:hAnsiTheme="majorHAnsi" w:cstheme="majorHAnsi"/>
                <w:sz w:val="20"/>
                <w:szCs w:val="20"/>
              </w:rPr>
              <w:t xml:space="preserve">served </w:t>
            </w:r>
            <w:r w:rsidRPr="003E607D">
              <w:rPr>
                <w:rFonts w:asciiTheme="majorHAnsi" w:hAnsiTheme="majorHAnsi" w:cstheme="majorHAnsi"/>
                <w:sz w:val="20"/>
                <w:szCs w:val="20"/>
              </w:rPr>
              <w:t>to train master trainers of which 2</w:t>
            </w:r>
            <w:r w:rsidR="00714889" w:rsidRPr="003E607D">
              <w:rPr>
                <w:rFonts w:asciiTheme="majorHAnsi" w:hAnsiTheme="majorHAnsi" w:cstheme="majorHAnsi"/>
                <w:sz w:val="20"/>
                <w:szCs w:val="20"/>
              </w:rPr>
              <w:t>9%</w:t>
            </w:r>
            <w:r w:rsidR="00960731" w:rsidRPr="003E607D">
              <w:rPr>
                <w:rFonts w:asciiTheme="majorHAnsi" w:hAnsiTheme="majorHAnsi" w:cstheme="majorHAnsi"/>
                <w:sz w:val="20"/>
                <w:szCs w:val="20"/>
              </w:rPr>
              <w:t xml:space="preserve"> </w:t>
            </w:r>
            <w:r w:rsidRPr="003E607D">
              <w:rPr>
                <w:rFonts w:asciiTheme="majorHAnsi" w:hAnsiTheme="majorHAnsi" w:cstheme="majorHAnsi"/>
                <w:sz w:val="20"/>
                <w:szCs w:val="20"/>
              </w:rPr>
              <w:t xml:space="preserve">were </w:t>
            </w:r>
            <w:r w:rsidR="00960731" w:rsidRPr="003E607D">
              <w:rPr>
                <w:rFonts w:asciiTheme="majorHAnsi" w:hAnsiTheme="majorHAnsi" w:cstheme="majorHAnsi"/>
                <w:sz w:val="20"/>
                <w:szCs w:val="20"/>
              </w:rPr>
              <w:t>females</w:t>
            </w:r>
            <w:r w:rsidRPr="003E607D">
              <w:rPr>
                <w:rFonts w:asciiTheme="majorHAnsi" w:hAnsiTheme="majorHAnsi" w:cstheme="majorHAnsi"/>
                <w:sz w:val="20"/>
                <w:szCs w:val="20"/>
              </w:rPr>
              <w:t>.</w:t>
            </w:r>
            <w:r w:rsidR="00960731" w:rsidRPr="003E607D">
              <w:rPr>
                <w:rFonts w:asciiTheme="majorHAnsi" w:hAnsiTheme="majorHAnsi" w:cstheme="majorHAnsi"/>
                <w:sz w:val="20"/>
                <w:szCs w:val="20"/>
              </w:rPr>
              <w:t xml:space="preserve"> All these actions have led </w:t>
            </w:r>
            <w:r w:rsidR="00B50382">
              <w:rPr>
                <w:rFonts w:asciiTheme="majorHAnsi" w:hAnsiTheme="majorHAnsi" w:cstheme="majorHAnsi"/>
                <w:sz w:val="20"/>
                <w:szCs w:val="20"/>
              </w:rPr>
              <w:t xml:space="preserve">to </w:t>
            </w:r>
            <w:r w:rsidRPr="003E607D">
              <w:rPr>
                <w:rFonts w:asciiTheme="majorHAnsi" w:hAnsiTheme="majorHAnsi" w:cstheme="majorHAnsi"/>
                <w:sz w:val="20"/>
                <w:szCs w:val="20"/>
              </w:rPr>
              <w:t>110,000 benefitting from the doubled</w:t>
            </w:r>
            <w:r w:rsidR="003E607D">
              <w:rPr>
                <w:rFonts w:asciiTheme="majorHAnsi" w:hAnsiTheme="majorHAnsi" w:cstheme="majorHAnsi"/>
                <w:sz w:val="20"/>
                <w:szCs w:val="20"/>
              </w:rPr>
              <w:t>-</w:t>
            </w:r>
            <w:r w:rsidRPr="003E607D">
              <w:rPr>
                <w:rFonts w:asciiTheme="majorHAnsi" w:hAnsiTheme="majorHAnsi" w:cstheme="majorHAnsi"/>
                <w:sz w:val="20"/>
                <w:szCs w:val="20"/>
              </w:rPr>
              <w:t>up legume systems</w:t>
            </w:r>
            <w:r w:rsidR="003E607D" w:rsidRPr="003E607D">
              <w:rPr>
                <w:rFonts w:asciiTheme="majorHAnsi" w:hAnsiTheme="majorHAnsi" w:cstheme="majorHAnsi"/>
                <w:sz w:val="20"/>
                <w:szCs w:val="20"/>
              </w:rPr>
              <w:t>.</w:t>
            </w:r>
          </w:p>
        </w:tc>
      </w:tr>
      <w:tr w:rsidR="00275D7A" w14:paraId="5F07C9B4" w14:textId="77777777" w:rsidTr="002D293F">
        <w:trPr>
          <w:trHeight w:val="500"/>
          <w:jc w:val="center"/>
        </w:trPr>
        <w:tc>
          <w:tcPr>
            <w:tcW w:w="5585" w:type="dxa"/>
            <w:shd w:val="clear" w:color="auto" w:fill="FFF2CC"/>
            <w:tcMar>
              <w:top w:w="100" w:type="dxa"/>
              <w:left w:w="100" w:type="dxa"/>
              <w:bottom w:w="100" w:type="dxa"/>
              <w:right w:w="100" w:type="dxa"/>
            </w:tcMar>
          </w:tcPr>
          <w:p w14:paraId="75D777BD" w14:textId="77777777" w:rsidR="00275D7A" w:rsidRDefault="00275D7A" w:rsidP="00275D7A">
            <w:pPr>
              <w:keepNext/>
              <w:widowControl w:val="0"/>
              <w:rPr>
                <w:sz w:val="20"/>
                <w:szCs w:val="20"/>
              </w:rPr>
            </w:pPr>
            <w:r>
              <w:rPr>
                <w:b/>
                <w:sz w:val="20"/>
                <w:szCs w:val="20"/>
              </w:rPr>
              <w:t>1.2.</w:t>
            </w:r>
            <w:r>
              <w:rPr>
                <w:sz w:val="20"/>
                <w:szCs w:val="20"/>
              </w:rPr>
              <w:t xml:space="preserve"> 30 million people, of which 50% are women, assisted to exit poverty</w:t>
            </w:r>
          </w:p>
        </w:tc>
        <w:tc>
          <w:tcPr>
            <w:tcW w:w="5245" w:type="dxa"/>
            <w:tcMar>
              <w:top w:w="100" w:type="dxa"/>
              <w:left w:w="100" w:type="dxa"/>
              <w:bottom w:w="100" w:type="dxa"/>
              <w:right w:w="100" w:type="dxa"/>
            </w:tcMar>
          </w:tcPr>
          <w:p w14:paraId="6619925B" w14:textId="088C5652" w:rsidR="00275D7A" w:rsidRDefault="00275D7A" w:rsidP="00275D7A">
            <w:pPr>
              <w:keepNext/>
              <w:widowControl w:val="0"/>
              <w:rPr>
                <w:color w:val="000099"/>
                <w:sz w:val="20"/>
                <w:szCs w:val="20"/>
              </w:rPr>
            </w:pPr>
            <w:r w:rsidRPr="00D53766">
              <w:rPr>
                <w:color w:val="000099"/>
                <w:sz w:val="20"/>
                <w:szCs w:val="20"/>
              </w:rPr>
              <w:t>No new evidence available this year</w:t>
            </w:r>
          </w:p>
        </w:tc>
        <w:tc>
          <w:tcPr>
            <w:tcW w:w="3660" w:type="dxa"/>
          </w:tcPr>
          <w:p w14:paraId="7E10A145" w14:textId="77777777" w:rsidR="00275D7A" w:rsidRDefault="00275D7A" w:rsidP="00275D7A">
            <w:pPr>
              <w:keepNext/>
              <w:widowControl w:val="0"/>
              <w:rPr>
                <w:color w:val="000099"/>
                <w:sz w:val="20"/>
                <w:szCs w:val="20"/>
              </w:rPr>
            </w:pPr>
          </w:p>
        </w:tc>
      </w:tr>
      <w:tr w:rsidR="00275D7A" w14:paraId="5F425F68" w14:textId="77777777" w:rsidTr="002D293F">
        <w:trPr>
          <w:trHeight w:val="616"/>
          <w:jc w:val="center"/>
        </w:trPr>
        <w:tc>
          <w:tcPr>
            <w:tcW w:w="5585" w:type="dxa"/>
            <w:shd w:val="clear" w:color="auto" w:fill="FFF2CC"/>
            <w:tcMar>
              <w:top w:w="100" w:type="dxa"/>
              <w:left w:w="100" w:type="dxa"/>
              <w:bottom w:w="100" w:type="dxa"/>
              <w:right w:w="100" w:type="dxa"/>
            </w:tcMar>
          </w:tcPr>
          <w:p w14:paraId="48D1DF1F" w14:textId="77777777" w:rsidR="00275D7A" w:rsidRDefault="00275D7A" w:rsidP="00275D7A">
            <w:pPr>
              <w:keepNext/>
              <w:widowControl w:val="0"/>
              <w:rPr>
                <w:sz w:val="20"/>
                <w:szCs w:val="20"/>
              </w:rPr>
            </w:pPr>
            <w:r>
              <w:rPr>
                <w:b/>
                <w:sz w:val="20"/>
                <w:szCs w:val="20"/>
              </w:rPr>
              <w:t>2.1.</w:t>
            </w:r>
            <w:r>
              <w:rPr>
                <w:sz w:val="20"/>
                <w:szCs w:val="20"/>
              </w:rPr>
              <w:t xml:space="preserve"> Improve the rate of yield increase for major food staples from current &lt;1% to 1.2-1.5% per year</w:t>
            </w:r>
          </w:p>
        </w:tc>
        <w:tc>
          <w:tcPr>
            <w:tcW w:w="5245" w:type="dxa"/>
            <w:tcMar>
              <w:top w:w="100" w:type="dxa"/>
              <w:left w:w="100" w:type="dxa"/>
              <w:bottom w:w="100" w:type="dxa"/>
              <w:right w:w="100" w:type="dxa"/>
            </w:tcMar>
          </w:tcPr>
          <w:p w14:paraId="36699535" w14:textId="0AD844C9" w:rsidR="00275D7A" w:rsidRDefault="00275D7A" w:rsidP="00275D7A">
            <w:pPr>
              <w:keepNext/>
              <w:widowControl w:val="0"/>
              <w:rPr>
                <w:color w:val="000099"/>
                <w:sz w:val="20"/>
                <w:szCs w:val="20"/>
              </w:rPr>
            </w:pPr>
            <w:r w:rsidRPr="00D53766">
              <w:rPr>
                <w:color w:val="000099"/>
                <w:sz w:val="20"/>
                <w:szCs w:val="20"/>
              </w:rPr>
              <w:t>No new evidence available this year</w:t>
            </w:r>
          </w:p>
        </w:tc>
        <w:tc>
          <w:tcPr>
            <w:tcW w:w="3660" w:type="dxa"/>
          </w:tcPr>
          <w:p w14:paraId="0B8DF025" w14:textId="77777777" w:rsidR="00275D7A" w:rsidRDefault="00275D7A" w:rsidP="00275D7A">
            <w:pPr>
              <w:keepNext/>
              <w:widowControl w:val="0"/>
              <w:rPr>
                <w:color w:val="000099"/>
                <w:sz w:val="20"/>
                <w:szCs w:val="20"/>
              </w:rPr>
            </w:pPr>
          </w:p>
        </w:tc>
      </w:tr>
      <w:tr w:rsidR="00275D7A" w14:paraId="1F03442C" w14:textId="77777777" w:rsidTr="002D293F">
        <w:trPr>
          <w:trHeight w:val="760"/>
          <w:jc w:val="center"/>
        </w:trPr>
        <w:tc>
          <w:tcPr>
            <w:tcW w:w="5585" w:type="dxa"/>
            <w:shd w:val="clear" w:color="auto" w:fill="FFF2CC"/>
            <w:tcMar>
              <w:top w:w="100" w:type="dxa"/>
              <w:left w:w="100" w:type="dxa"/>
              <w:bottom w:w="100" w:type="dxa"/>
              <w:right w:w="100" w:type="dxa"/>
            </w:tcMar>
          </w:tcPr>
          <w:p w14:paraId="1052F9D1" w14:textId="77777777" w:rsidR="00275D7A" w:rsidRDefault="00275D7A" w:rsidP="00275D7A">
            <w:pPr>
              <w:widowControl w:val="0"/>
              <w:rPr>
                <w:sz w:val="20"/>
                <w:szCs w:val="20"/>
              </w:rPr>
            </w:pPr>
            <w:r>
              <w:rPr>
                <w:b/>
                <w:sz w:val="20"/>
                <w:szCs w:val="20"/>
              </w:rPr>
              <w:t>2.2.</w:t>
            </w:r>
            <w:r>
              <w:rPr>
                <w:sz w:val="20"/>
                <w:szCs w:val="20"/>
              </w:rPr>
              <w:t xml:space="preserve"> 30 million more people, of which 50% are women, meeting minimum dietary energy requirements</w:t>
            </w:r>
          </w:p>
        </w:tc>
        <w:tc>
          <w:tcPr>
            <w:tcW w:w="5245" w:type="dxa"/>
            <w:tcMar>
              <w:top w:w="100" w:type="dxa"/>
              <w:left w:w="100" w:type="dxa"/>
              <w:bottom w:w="100" w:type="dxa"/>
              <w:right w:w="100" w:type="dxa"/>
            </w:tcMar>
          </w:tcPr>
          <w:p w14:paraId="5A468304" w14:textId="25D380F4" w:rsidR="00275D7A" w:rsidRDefault="00275D7A" w:rsidP="00275D7A">
            <w:pPr>
              <w:widowControl w:val="0"/>
              <w:rPr>
                <w:color w:val="000099"/>
                <w:sz w:val="20"/>
                <w:szCs w:val="20"/>
              </w:rPr>
            </w:pPr>
            <w:r w:rsidRPr="00D53766">
              <w:rPr>
                <w:color w:val="000099"/>
                <w:sz w:val="20"/>
                <w:szCs w:val="20"/>
              </w:rPr>
              <w:t>No new evidence available this year</w:t>
            </w:r>
          </w:p>
        </w:tc>
        <w:tc>
          <w:tcPr>
            <w:tcW w:w="3660" w:type="dxa"/>
          </w:tcPr>
          <w:p w14:paraId="5E1D2437" w14:textId="77777777" w:rsidR="00275D7A" w:rsidRDefault="00275D7A" w:rsidP="00275D7A">
            <w:pPr>
              <w:widowControl w:val="0"/>
              <w:rPr>
                <w:color w:val="000099"/>
                <w:sz w:val="20"/>
                <w:szCs w:val="20"/>
              </w:rPr>
            </w:pPr>
          </w:p>
        </w:tc>
      </w:tr>
      <w:tr w:rsidR="00275D7A" w14:paraId="35FDFE11" w14:textId="77777777" w:rsidTr="002D293F">
        <w:trPr>
          <w:trHeight w:val="644"/>
          <w:jc w:val="center"/>
        </w:trPr>
        <w:tc>
          <w:tcPr>
            <w:tcW w:w="5585" w:type="dxa"/>
            <w:shd w:val="clear" w:color="auto" w:fill="FFF2CC"/>
            <w:tcMar>
              <w:top w:w="100" w:type="dxa"/>
              <w:left w:w="100" w:type="dxa"/>
              <w:bottom w:w="100" w:type="dxa"/>
              <w:right w:w="100" w:type="dxa"/>
            </w:tcMar>
          </w:tcPr>
          <w:p w14:paraId="5B5B1EEE" w14:textId="77777777" w:rsidR="00275D7A" w:rsidRDefault="00275D7A" w:rsidP="00275D7A">
            <w:pPr>
              <w:widowControl w:val="0"/>
              <w:rPr>
                <w:sz w:val="20"/>
                <w:szCs w:val="20"/>
              </w:rPr>
            </w:pPr>
            <w:r>
              <w:rPr>
                <w:b/>
                <w:sz w:val="20"/>
                <w:szCs w:val="20"/>
              </w:rPr>
              <w:t>2.3.</w:t>
            </w:r>
            <w:r>
              <w:rPr>
                <w:sz w:val="20"/>
                <w:szCs w:val="20"/>
              </w:rPr>
              <w:t xml:space="preserve"> 150 million more people, of which 50% are women, without deficiencies in one or more essential micronutrients</w:t>
            </w:r>
          </w:p>
        </w:tc>
        <w:tc>
          <w:tcPr>
            <w:tcW w:w="5245" w:type="dxa"/>
            <w:tcMar>
              <w:top w:w="100" w:type="dxa"/>
              <w:left w:w="100" w:type="dxa"/>
              <w:bottom w:w="100" w:type="dxa"/>
              <w:right w:w="100" w:type="dxa"/>
            </w:tcMar>
          </w:tcPr>
          <w:p w14:paraId="51BE6D39" w14:textId="3E06D161" w:rsidR="00275D7A" w:rsidRDefault="00275D7A" w:rsidP="00275D7A">
            <w:pPr>
              <w:widowControl w:val="0"/>
              <w:rPr>
                <w:color w:val="000099"/>
                <w:sz w:val="20"/>
                <w:szCs w:val="20"/>
              </w:rPr>
            </w:pPr>
            <w:r w:rsidRPr="00D53766">
              <w:rPr>
                <w:color w:val="000099"/>
                <w:sz w:val="20"/>
                <w:szCs w:val="20"/>
              </w:rPr>
              <w:t>No new evidence available this year</w:t>
            </w:r>
          </w:p>
        </w:tc>
        <w:tc>
          <w:tcPr>
            <w:tcW w:w="3660" w:type="dxa"/>
          </w:tcPr>
          <w:p w14:paraId="1170F89B" w14:textId="77777777" w:rsidR="00275D7A" w:rsidRDefault="00275D7A" w:rsidP="00275D7A">
            <w:pPr>
              <w:widowControl w:val="0"/>
              <w:rPr>
                <w:color w:val="000099"/>
                <w:sz w:val="20"/>
                <w:szCs w:val="20"/>
              </w:rPr>
            </w:pPr>
          </w:p>
        </w:tc>
      </w:tr>
      <w:tr w:rsidR="00275D7A" w14:paraId="33F9FF88" w14:textId="77777777" w:rsidTr="002D293F">
        <w:trPr>
          <w:trHeight w:val="580"/>
          <w:jc w:val="center"/>
        </w:trPr>
        <w:tc>
          <w:tcPr>
            <w:tcW w:w="5585" w:type="dxa"/>
            <w:shd w:val="clear" w:color="auto" w:fill="FFF2CC"/>
            <w:tcMar>
              <w:top w:w="100" w:type="dxa"/>
              <w:left w:w="100" w:type="dxa"/>
              <w:bottom w:w="100" w:type="dxa"/>
              <w:right w:w="100" w:type="dxa"/>
            </w:tcMar>
          </w:tcPr>
          <w:p w14:paraId="6C08AF02" w14:textId="77777777" w:rsidR="00275D7A" w:rsidRDefault="00275D7A" w:rsidP="00275D7A">
            <w:pPr>
              <w:widowControl w:val="0"/>
              <w:rPr>
                <w:sz w:val="20"/>
                <w:szCs w:val="20"/>
              </w:rPr>
            </w:pPr>
            <w:r>
              <w:rPr>
                <w:b/>
                <w:sz w:val="20"/>
                <w:szCs w:val="20"/>
              </w:rPr>
              <w:t>3.1.</w:t>
            </w:r>
            <w:r>
              <w:rPr>
                <w:sz w:val="20"/>
                <w:szCs w:val="20"/>
              </w:rPr>
              <w:t xml:space="preserve"> 5% increase in water and nutrient efficiency in agroecosystems </w:t>
            </w:r>
          </w:p>
        </w:tc>
        <w:tc>
          <w:tcPr>
            <w:tcW w:w="5245" w:type="dxa"/>
            <w:tcMar>
              <w:top w:w="100" w:type="dxa"/>
              <w:left w:w="100" w:type="dxa"/>
              <w:bottom w:w="100" w:type="dxa"/>
              <w:right w:w="100" w:type="dxa"/>
            </w:tcMar>
          </w:tcPr>
          <w:p w14:paraId="242EE1F4" w14:textId="40BF0F0C" w:rsidR="00275D7A" w:rsidRDefault="00275D7A" w:rsidP="00275D7A">
            <w:pPr>
              <w:widowControl w:val="0"/>
              <w:rPr>
                <w:color w:val="000099"/>
                <w:sz w:val="20"/>
                <w:szCs w:val="20"/>
              </w:rPr>
            </w:pPr>
            <w:r w:rsidRPr="00E27207">
              <w:rPr>
                <w:color w:val="000099"/>
                <w:sz w:val="20"/>
                <w:szCs w:val="20"/>
              </w:rPr>
              <w:t>No new evidence available this year</w:t>
            </w:r>
          </w:p>
        </w:tc>
        <w:tc>
          <w:tcPr>
            <w:tcW w:w="3660" w:type="dxa"/>
          </w:tcPr>
          <w:p w14:paraId="359F1BCB" w14:textId="77777777" w:rsidR="00275D7A" w:rsidRDefault="00275D7A" w:rsidP="00275D7A">
            <w:pPr>
              <w:widowControl w:val="0"/>
              <w:rPr>
                <w:color w:val="000099"/>
                <w:sz w:val="20"/>
                <w:szCs w:val="20"/>
              </w:rPr>
            </w:pPr>
          </w:p>
        </w:tc>
      </w:tr>
      <w:tr w:rsidR="00275D7A" w14:paraId="54FB1078" w14:textId="77777777" w:rsidTr="002D293F">
        <w:trPr>
          <w:trHeight w:val="524"/>
          <w:jc w:val="center"/>
        </w:trPr>
        <w:tc>
          <w:tcPr>
            <w:tcW w:w="5585" w:type="dxa"/>
            <w:shd w:val="clear" w:color="auto" w:fill="FFF2CC"/>
            <w:tcMar>
              <w:top w:w="100" w:type="dxa"/>
              <w:left w:w="100" w:type="dxa"/>
              <w:bottom w:w="100" w:type="dxa"/>
              <w:right w:w="100" w:type="dxa"/>
            </w:tcMar>
          </w:tcPr>
          <w:p w14:paraId="18CCD482" w14:textId="77777777" w:rsidR="00275D7A" w:rsidRDefault="00275D7A" w:rsidP="00275D7A">
            <w:pPr>
              <w:widowControl w:val="0"/>
              <w:rPr>
                <w:sz w:val="20"/>
                <w:szCs w:val="20"/>
              </w:rPr>
            </w:pPr>
            <w:r>
              <w:rPr>
                <w:b/>
                <w:sz w:val="20"/>
                <w:szCs w:val="20"/>
              </w:rPr>
              <w:lastRenderedPageBreak/>
              <w:t>3.2.</w:t>
            </w:r>
            <w:r>
              <w:rPr>
                <w:sz w:val="20"/>
                <w:szCs w:val="20"/>
              </w:rPr>
              <w:t xml:space="preserve"> Reduction in ‘agriculturally’-related greenhouse gas emissions by 5% </w:t>
            </w:r>
          </w:p>
        </w:tc>
        <w:tc>
          <w:tcPr>
            <w:tcW w:w="5245" w:type="dxa"/>
            <w:tcMar>
              <w:top w:w="100" w:type="dxa"/>
              <w:left w:w="100" w:type="dxa"/>
              <w:bottom w:w="100" w:type="dxa"/>
              <w:right w:w="100" w:type="dxa"/>
            </w:tcMar>
          </w:tcPr>
          <w:p w14:paraId="05013960" w14:textId="7CB120C3" w:rsidR="00275D7A" w:rsidRDefault="00275D7A" w:rsidP="00275D7A">
            <w:pPr>
              <w:widowControl w:val="0"/>
              <w:rPr>
                <w:color w:val="000099"/>
                <w:sz w:val="20"/>
                <w:szCs w:val="20"/>
              </w:rPr>
            </w:pPr>
            <w:r w:rsidRPr="00E27207">
              <w:rPr>
                <w:color w:val="000099"/>
                <w:sz w:val="20"/>
                <w:szCs w:val="20"/>
              </w:rPr>
              <w:t>No new evidence available this year</w:t>
            </w:r>
          </w:p>
        </w:tc>
        <w:tc>
          <w:tcPr>
            <w:tcW w:w="3660" w:type="dxa"/>
          </w:tcPr>
          <w:p w14:paraId="1B02C98E" w14:textId="77777777" w:rsidR="00275D7A" w:rsidRDefault="00275D7A" w:rsidP="00275D7A">
            <w:pPr>
              <w:widowControl w:val="0"/>
              <w:rPr>
                <w:color w:val="000099"/>
                <w:sz w:val="20"/>
                <w:szCs w:val="20"/>
              </w:rPr>
            </w:pPr>
          </w:p>
        </w:tc>
      </w:tr>
      <w:tr w:rsidR="00275D7A" w14:paraId="33DE0992" w14:textId="77777777" w:rsidTr="002D293F">
        <w:trPr>
          <w:trHeight w:val="306"/>
          <w:jc w:val="center"/>
        </w:trPr>
        <w:tc>
          <w:tcPr>
            <w:tcW w:w="5585" w:type="dxa"/>
            <w:shd w:val="clear" w:color="auto" w:fill="FFF2CC"/>
            <w:tcMar>
              <w:top w:w="100" w:type="dxa"/>
              <w:left w:w="100" w:type="dxa"/>
              <w:bottom w:w="100" w:type="dxa"/>
              <w:right w:w="100" w:type="dxa"/>
            </w:tcMar>
          </w:tcPr>
          <w:p w14:paraId="3EB3BB2A" w14:textId="77777777" w:rsidR="00275D7A" w:rsidRDefault="00275D7A" w:rsidP="00275D7A">
            <w:pPr>
              <w:widowControl w:val="0"/>
              <w:rPr>
                <w:sz w:val="20"/>
                <w:szCs w:val="20"/>
              </w:rPr>
            </w:pPr>
            <w:r>
              <w:rPr>
                <w:b/>
                <w:sz w:val="20"/>
                <w:szCs w:val="20"/>
              </w:rPr>
              <w:t>3.3.</w:t>
            </w:r>
            <w:r>
              <w:rPr>
                <w:sz w:val="20"/>
                <w:szCs w:val="20"/>
              </w:rPr>
              <w:t xml:space="preserve"> 55 M ha degraded land area restored</w:t>
            </w:r>
          </w:p>
        </w:tc>
        <w:tc>
          <w:tcPr>
            <w:tcW w:w="5245" w:type="dxa"/>
            <w:tcMar>
              <w:top w:w="100" w:type="dxa"/>
              <w:left w:w="100" w:type="dxa"/>
              <w:bottom w:w="100" w:type="dxa"/>
              <w:right w:w="100" w:type="dxa"/>
            </w:tcMar>
          </w:tcPr>
          <w:p w14:paraId="101FFF7F" w14:textId="3242DE23" w:rsidR="00275D7A" w:rsidRDefault="00275D7A" w:rsidP="00275D7A">
            <w:pPr>
              <w:widowControl w:val="0"/>
              <w:rPr>
                <w:color w:val="000099"/>
                <w:sz w:val="20"/>
                <w:szCs w:val="20"/>
              </w:rPr>
            </w:pPr>
            <w:r w:rsidRPr="00E27207">
              <w:rPr>
                <w:color w:val="000099"/>
                <w:sz w:val="20"/>
                <w:szCs w:val="20"/>
              </w:rPr>
              <w:t>No new evidence available this year</w:t>
            </w:r>
          </w:p>
        </w:tc>
        <w:tc>
          <w:tcPr>
            <w:tcW w:w="3660" w:type="dxa"/>
          </w:tcPr>
          <w:p w14:paraId="36995852" w14:textId="77777777" w:rsidR="00275D7A" w:rsidRDefault="00275D7A" w:rsidP="00275D7A">
            <w:pPr>
              <w:widowControl w:val="0"/>
              <w:rPr>
                <w:color w:val="000099"/>
                <w:sz w:val="20"/>
                <w:szCs w:val="20"/>
              </w:rPr>
            </w:pPr>
          </w:p>
        </w:tc>
      </w:tr>
      <w:tr w:rsidR="00275D7A" w14:paraId="74FBE449" w14:textId="77777777" w:rsidTr="002D293F">
        <w:trPr>
          <w:trHeight w:val="20"/>
          <w:jc w:val="center"/>
        </w:trPr>
        <w:tc>
          <w:tcPr>
            <w:tcW w:w="5585" w:type="dxa"/>
            <w:shd w:val="clear" w:color="auto" w:fill="FFF2CC"/>
            <w:tcMar>
              <w:top w:w="100" w:type="dxa"/>
              <w:left w:w="100" w:type="dxa"/>
              <w:bottom w:w="100" w:type="dxa"/>
              <w:right w:w="100" w:type="dxa"/>
            </w:tcMar>
          </w:tcPr>
          <w:p w14:paraId="68220053" w14:textId="77777777" w:rsidR="00275D7A" w:rsidRDefault="00275D7A" w:rsidP="00275D7A">
            <w:pPr>
              <w:widowControl w:val="0"/>
              <w:rPr>
                <w:sz w:val="20"/>
                <w:szCs w:val="20"/>
              </w:rPr>
            </w:pPr>
            <w:r>
              <w:rPr>
                <w:b/>
                <w:sz w:val="20"/>
                <w:szCs w:val="20"/>
              </w:rPr>
              <w:t>3.4.</w:t>
            </w:r>
            <w:r>
              <w:rPr>
                <w:sz w:val="20"/>
                <w:szCs w:val="20"/>
              </w:rPr>
              <w:t xml:space="preserve"> 2.5 M ha forest saved from deforestation</w:t>
            </w:r>
          </w:p>
        </w:tc>
        <w:tc>
          <w:tcPr>
            <w:tcW w:w="5245" w:type="dxa"/>
            <w:tcMar>
              <w:top w:w="100" w:type="dxa"/>
              <w:left w:w="100" w:type="dxa"/>
              <w:bottom w:w="100" w:type="dxa"/>
              <w:right w:w="100" w:type="dxa"/>
            </w:tcMar>
          </w:tcPr>
          <w:p w14:paraId="7B736BA2" w14:textId="4A50C3F3" w:rsidR="00275D7A" w:rsidRDefault="00275D7A" w:rsidP="00275D7A">
            <w:pPr>
              <w:widowControl w:val="0"/>
              <w:rPr>
                <w:color w:val="000099"/>
                <w:sz w:val="20"/>
                <w:szCs w:val="20"/>
              </w:rPr>
            </w:pPr>
            <w:r w:rsidRPr="00E27207">
              <w:rPr>
                <w:color w:val="000099"/>
                <w:sz w:val="20"/>
                <w:szCs w:val="20"/>
              </w:rPr>
              <w:t>No new evidence available this year</w:t>
            </w:r>
          </w:p>
        </w:tc>
        <w:tc>
          <w:tcPr>
            <w:tcW w:w="3660" w:type="dxa"/>
          </w:tcPr>
          <w:p w14:paraId="15F50CE2" w14:textId="77777777" w:rsidR="00275D7A" w:rsidRDefault="00275D7A" w:rsidP="00275D7A">
            <w:pPr>
              <w:widowControl w:val="0"/>
              <w:rPr>
                <w:color w:val="000099"/>
                <w:sz w:val="20"/>
                <w:szCs w:val="20"/>
              </w:rPr>
            </w:pPr>
          </w:p>
        </w:tc>
      </w:tr>
    </w:tbl>
    <w:p w14:paraId="7E71A878" w14:textId="77777777" w:rsidR="006E40C8" w:rsidRDefault="006E40C8" w:rsidP="006E40C8">
      <w:bookmarkStart w:id="27" w:name="_2lwamvv" w:colFirst="0" w:colLast="0"/>
      <w:bookmarkStart w:id="28" w:name="_Toc531191908"/>
      <w:bookmarkStart w:id="29" w:name="_Ref531211952"/>
      <w:bookmarkStart w:id="30" w:name="_Ref531211956"/>
      <w:bookmarkStart w:id="31" w:name="_Toc531264774"/>
      <w:bookmarkStart w:id="32" w:name="_Hlk531117307"/>
      <w:bookmarkEnd w:id="27"/>
    </w:p>
    <w:p w14:paraId="69590FC8" w14:textId="77777777" w:rsidR="006E40C8" w:rsidRPr="00413F1B" w:rsidRDefault="006E40C8" w:rsidP="006E40C8">
      <w:pPr>
        <w:pStyle w:val="Heading1"/>
        <w:rPr>
          <w:color w:val="BFBFBF" w:themeColor="background1" w:themeShade="BF"/>
          <w:sz w:val="24"/>
        </w:rPr>
      </w:pPr>
      <w:r w:rsidRPr="00413F1B">
        <w:rPr>
          <w:color w:val="BFBFBF" w:themeColor="background1" w:themeShade="BF"/>
          <w:sz w:val="24"/>
        </w:rPr>
        <w:t xml:space="preserve">Table </w:t>
      </w:r>
      <w:r>
        <w:rPr>
          <w:color w:val="BFBFBF" w:themeColor="background1" w:themeShade="BF"/>
          <w:sz w:val="24"/>
        </w:rPr>
        <w:t>3</w:t>
      </w:r>
      <w:r w:rsidRPr="00413F1B">
        <w:rPr>
          <w:color w:val="BFBFBF" w:themeColor="background1" w:themeShade="BF"/>
          <w:sz w:val="24"/>
        </w:rPr>
        <w:t>: Condensed list of policy contributions</w:t>
      </w:r>
      <w:bookmarkEnd w:id="28"/>
      <w:bookmarkEnd w:id="29"/>
      <w:bookmarkEnd w:id="30"/>
      <w:r w:rsidRPr="00413F1B">
        <w:rPr>
          <w:color w:val="BFBFBF" w:themeColor="background1" w:themeShade="BF"/>
          <w:sz w:val="24"/>
        </w:rPr>
        <w:t xml:space="preserve"> in this reporting year (Sphere of Influence)</w:t>
      </w:r>
      <w:bookmarkEnd w:id="31"/>
    </w:p>
    <w:p w14:paraId="18BF662B" w14:textId="77777777" w:rsidR="006E40C8" w:rsidRDefault="006E40C8" w:rsidP="006E40C8">
      <w:pPr>
        <w:ind w:right="101"/>
        <w:jc w:val="both"/>
        <w:rPr>
          <w:color w:val="9900FF"/>
        </w:rPr>
      </w:pPr>
      <w:r>
        <w:t>[</w:t>
      </w:r>
      <w:r w:rsidRPr="00CE2C70">
        <w:t xml:space="preserve">Please </w:t>
      </w:r>
      <w:r>
        <w:t xml:space="preserve">list policy contributions here.  (Please see the </w:t>
      </w:r>
      <w:hyperlink r:id="rId35">
        <w:r>
          <w:rPr>
            <w:color w:val="1155CC"/>
            <w:u w:val="single"/>
          </w:rPr>
          <w:t>indicator guidance</w:t>
        </w:r>
      </w:hyperlink>
      <w:r>
        <w:t xml:space="preserve">  for indicator #I1 number of policies which also includes an explanation of what is covered under the term ‘policy’.)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54"/>
        <w:gridCol w:w="3569"/>
        <w:gridCol w:w="1449"/>
        <w:gridCol w:w="1450"/>
        <w:gridCol w:w="838"/>
        <w:gridCol w:w="987"/>
        <w:gridCol w:w="1040"/>
        <w:gridCol w:w="1104"/>
        <w:gridCol w:w="1453"/>
      </w:tblGrid>
      <w:tr w:rsidR="00A3515A" w:rsidRPr="009F63C7" w14:paraId="6F43E314" w14:textId="77777777" w:rsidTr="0070227C">
        <w:trPr>
          <w:trHeight w:val="420"/>
        </w:trPr>
        <w:tc>
          <w:tcPr>
            <w:tcW w:w="737" w:type="pct"/>
            <w:tcBorders>
              <w:top w:val="single" w:sz="6" w:space="0" w:color="000000"/>
              <w:left w:val="single" w:sz="6" w:space="0" w:color="000000"/>
              <w:bottom w:val="single" w:sz="12" w:space="0" w:color="000000"/>
              <w:right w:val="single" w:sz="6" w:space="0" w:color="000000"/>
            </w:tcBorders>
            <w:shd w:val="clear" w:color="auto" w:fill="D9E2F3"/>
          </w:tcPr>
          <w:p w14:paraId="5F101AF2" w14:textId="77777777" w:rsidR="00A3515A" w:rsidRPr="009F63C7" w:rsidRDefault="00A3515A" w:rsidP="0070227C">
            <w:pPr>
              <w:rPr>
                <w:rFonts w:asciiTheme="majorHAnsi" w:hAnsiTheme="majorHAnsi" w:cstheme="majorHAnsi"/>
                <w:b/>
                <w:sz w:val="20"/>
                <w:szCs w:val="20"/>
              </w:rPr>
            </w:pPr>
            <w:r w:rsidRPr="009F63C7">
              <w:rPr>
                <w:rFonts w:asciiTheme="majorHAnsi" w:hAnsiTheme="majorHAnsi" w:cstheme="majorHAnsi"/>
                <w:b/>
                <w:sz w:val="20"/>
                <w:szCs w:val="20"/>
              </w:rPr>
              <w:t>Column 1</w:t>
            </w:r>
          </w:p>
        </w:tc>
        <w:tc>
          <w:tcPr>
            <w:tcW w:w="1280" w:type="pct"/>
            <w:tcBorders>
              <w:top w:val="single" w:sz="6" w:space="0" w:color="000000"/>
              <w:left w:val="single" w:sz="6" w:space="0" w:color="000000"/>
              <w:bottom w:val="single" w:sz="12" w:space="0" w:color="000000"/>
              <w:right w:val="single" w:sz="6" w:space="0" w:color="000000"/>
            </w:tcBorders>
          </w:tcPr>
          <w:p w14:paraId="07E68D82" w14:textId="77777777" w:rsidR="00A3515A" w:rsidRPr="009F63C7" w:rsidRDefault="00A3515A" w:rsidP="0070227C">
            <w:pPr>
              <w:rPr>
                <w:rFonts w:asciiTheme="majorHAnsi" w:hAnsiTheme="majorHAnsi" w:cstheme="majorHAnsi"/>
                <w:sz w:val="20"/>
                <w:szCs w:val="20"/>
              </w:rPr>
            </w:pPr>
            <w:r>
              <w:rPr>
                <w:rFonts w:asciiTheme="majorHAnsi" w:hAnsiTheme="majorHAnsi" w:cstheme="majorHAnsi"/>
                <w:sz w:val="20"/>
                <w:szCs w:val="20"/>
              </w:rPr>
              <w:t>Column 2A</w:t>
            </w:r>
          </w:p>
        </w:tc>
        <w:tc>
          <w:tcPr>
            <w:tcW w:w="520" w:type="pct"/>
            <w:tcBorders>
              <w:top w:val="single" w:sz="6" w:space="0" w:color="000000"/>
              <w:left w:val="single" w:sz="6" w:space="0" w:color="000000"/>
              <w:bottom w:val="single" w:sz="12" w:space="0" w:color="000000"/>
              <w:right w:val="single" w:sz="6" w:space="0" w:color="000000"/>
            </w:tcBorders>
          </w:tcPr>
          <w:p w14:paraId="32CF74AB"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Column 2</w:t>
            </w:r>
          </w:p>
        </w:tc>
        <w:tc>
          <w:tcPr>
            <w:tcW w:w="520" w:type="pct"/>
            <w:tcBorders>
              <w:top w:val="single" w:sz="6" w:space="0" w:color="000000"/>
              <w:left w:val="single" w:sz="6" w:space="0" w:color="000000"/>
              <w:bottom w:val="single" w:sz="12" w:space="0" w:color="000000"/>
              <w:right w:val="single" w:sz="6" w:space="0" w:color="000000"/>
            </w:tcBorders>
          </w:tcPr>
          <w:p w14:paraId="5BBB7FB0"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Column 3</w:t>
            </w:r>
          </w:p>
        </w:tc>
        <w:tc>
          <w:tcPr>
            <w:tcW w:w="298" w:type="pct"/>
            <w:tcBorders>
              <w:top w:val="single" w:sz="6" w:space="0" w:color="000000"/>
              <w:left w:val="single" w:sz="6" w:space="0" w:color="000000"/>
              <w:bottom w:val="single" w:sz="12" w:space="0" w:color="000000"/>
              <w:right w:val="single" w:sz="6" w:space="0" w:color="000000"/>
            </w:tcBorders>
          </w:tcPr>
          <w:p w14:paraId="431E6C49"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Column 4a</w:t>
            </w:r>
          </w:p>
        </w:tc>
        <w:tc>
          <w:tcPr>
            <w:tcW w:w="354" w:type="pct"/>
            <w:tcBorders>
              <w:top w:val="single" w:sz="6" w:space="0" w:color="000000"/>
              <w:left w:val="single" w:sz="6" w:space="0" w:color="000000"/>
              <w:bottom w:val="single" w:sz="12" w:space="0" w:color="000000"/>
              <w:right w:val="single" w:sz="6" w:space="0" w:color="000000"/>
            </w:tcBorders>
          </w:tcPr>
          <w:p w14:paraId="012D1533"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Column 4b</w:t>
            </w:r>
          </w:p>
        </w:tc>
        <w:tc>
          <w:tcPr>
            <w:tcW w:w="373" w:type="pct"/>
            <w:tcBorders>
              <w:top w:val="single" w:sz="6" w:space="0" w:color="000000"/>
              <w:left w:val="single" w:sz="6" w:space="0" w:color="000000"/>
              <w:bottom w:val="single" w:sz="12" w:space="0" w:color="000000"/>
              <w:right w:val="single" w:sz="6" w:space="0" w:color="000000"/>
            </w:tcBorders>
          </w:tcPr>
          <w:p w14:paraId="3992EF7D"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Column 4c</w:t>
            </w:r>
          </w:p>
        </w:tc>
        <w:tc>
          <w:tcPr>
            <w:tcW w:w="396" w:type="pct"/>
            <w:tcBorders>
              <w:top w:val="single" w:sz="6" w:space="0" w:color="000000"/>
              <w:left w:val="single" w:sz="6" w:space="0" w:color="000000"/>
              <w:bottom w:val="single" w:sz="12" w:space="0" w:color="000000"/>
              <w:right w:val="single" w:sz="6" w:space="0" w:color="000000"/>
            </w:tcBorders>
          </w:tcPr>
          <w:p w14:paraId="54FA5D76"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Column 4d</w:t>
            </w:r>
          </w:p>
        </w:tc>
        <w:tc>
          <w:tcPr>
            <w:tcW w:w="521" w:type="pct"/>
            <w:tcBorders>
              <w:top w:val="single" w:sz="6" w:space="0" w:color="000000"/>
              <w:left w:val="single" w:sz="6" w:space="0" w:color="000000"/>
              <w:right w:val="single" w:sz="6" w:space="0" w:color="000000"/>
            </w:tcBorders>
          </w:tcPr>
          <w:p w14:paraId="23E04F03"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Column 4e</w:t>
            </w:r>
          </w:p>
        </w:tc>
      </w:tr>
      <w:tr w:rsidR="00A3515A" w:rsidRPr="009F63C7" w14:paraId="46ED17D5" w14:textId="77777777" w:rsidTr="0070227C">
        <w:trPr>
          <w:trHeight w:val="1454"/>
        </w:trPr>
        <w:tc>
          <w:tcPr>
            <w:tcW w:w="737" w:type="pct"/>
            <w:vMerge w:val="restart"/>
            <w:tcBorders>
              <w:top w:val="single" w:sz="6" w:space="0" w:color="000000"/>
              <w:left w:val="single" w:sz="6" w:space="0" w:color="000000"/>
              <w:right w:val="single" w:sz="6" w:space="0" w:color="000000"/>
            </w:tcBorders>
            <w:shd w:val="clear" w:color="auto" w:fill="D9E2F3"/>
          </w:tcPr>
          <w:p w14:paraId="1A6B70ED" w14:textId="77777777" w:rsidR="00A3515A" w:rsidRPr="009F63C7" w:rsidRDefault="00A3515A" w:rsidP="0070227C">
            <w:pPr>
              <w:rPr>
                <w:rFonts w:asciiTheme="majorHAnsi" w:hAnsiTheme="majorHAnsi" w:cstheme="majorHAnsi"/>
                <w:sz w:val="20"/>
                <w:szCs w:val="20"/>
              </w:rPr>
            </w:pPr>
            <w:r>
              <w:rPr>
                <w:rFonts w:asciiTheme="majorHAnsi" w:hAnsiTheme="majorHAnsi" w:cstheme="majorHAnsi"/>
                <w:sz w:val="20"/>
                <w:szCs w:val="20"/>
              </w:rPr>
              <w:t>Title</w:t>
            </w:r>
            <w:r w:rsidRPr="009F63C7">
              <w:rPr>
                <w:rFonts w:asciiTheme="majorHAnsi" w:hAnsiTheme="majorHAnsi" w:cstheme="majorHAnsi"/>
                <w:sz w:val="20"/>
                <w:szCs w:val="20"/>
              </w:rPr>
              <w:t xml:space="preserve"> of policy, legal instrument, investment or curriculum to which CGIAR contributed (</w:t>
            </w:r>
            <w:r w:rsidRPr="00B17264">
              <w:rPr>
                <w:rFonts w:asciiTheme="majorHAnsi" w:hAnsiTheme="majorHAnsi" w:cstheme="majorHAnsi"/>
                <w:sz w:val="20"/>
                <w:szCs w:val="20"/>
                <w:highlight w:val="green"/>
              </w:rPr>
              <w:t>max 30 words</w:t>
            </w:r>
            <w:r>
              <w:rPr>
                <w:rFonts w:asciiTheme="majorHAnsi" w:hAnsiTheme="majorHAnsi" w:cstheme="majorHAnsi"/>
                <w:sz w:val="20"/>
                <w:szCs w:val="20"/>
              </w:rPr>
              <w:t>)</w:t>
            </w:r>
          </w:p>
          <w:p w14:paraId="26D7F4EA" w14:textId="77777777" w:rsidR="00A3515A" w:rsidRPr="009F63C7" w:rsidRDefault="00A3515A" w:rsidP="0070227C">
            <w:pPr>
              <w:rPr>
                <w:rFonts w:asciiTheme="majorHAnsi" w:hAnsiTheme="majorHAnsi" w:cstheme="majorHAnsi"/>
                <w:sz w:val="20"/>
                <w:szCs w:val="20"/>
              </w:rPr>
            </w:pPr>
          </w:p>
          <w:p w14:paraId="45DB6D0E" w14:textId="77777777" w:rsidR="00A3515A" w:rsidRPr="009F63C7" w:rsidRDefault="00A3515A" w:rsidP="0070227C">
            <w:pPr>
              <w:rPr>
                <w:rFonts w:asciiTheme="majorHAnsi" w:hAnsiTheme="majorHAnsi" w:cstheme="majorHAnsi"/>
                <w:i/>
                <w:sz w:val="20"/>
                <w:szCs w:val="20"/>
              </w:rPr>
            </w:pPr>
            <w:r w:rsidRPr="009F63C7">
              <w:rPr>
                <w:rFonts w:asciiTheme="majorHAnsi" w:hAnsiTheme="majorHAnsi" w:cstheme="majorHAnsi"/>
                <w:i/>
                <w:sz w:val="20"/>
                <w:szCs w:val="20"/>
              </w:rPr>
              <w:t>Spell out acronyms in every row</w:t>
            </w:r>
          </w:p>
        </w:tc>
        <w:tc>
          <w:tcPr>
            <w:tcW w:w="1280" w:type="pct"/>
            <w:vMerge w:val="restart"/>
            <w:tcBorders>
              <w:top w:val="single" w:sz="6" w:space="0" w:color="000000"/>
              <w:left w:val="single" w:sz="6" w:space="0" w:color="000000"/>
              <w:right w:val="single" w:sz="6" w:space="0" w:color="000000"/>
            </w:tcBorders>
          </w:tcPr>
          <w:p w14:paraId="0DF386D5" w14:textId="77777777" w:rsidR="00A3515A" w:rsidRPr="009F63C7" w:rsidRDefault="00A3515A" w:rsidP="0070227C">
            <w:pPr>
              <w:rPr>
                <w:rFonts w:asciiTheme="majorHAnsi" w:hAnsiTheme="majorHAnsi" w:cstheme="majorHAnsi"/>
                <w:sz w:val="20"/>
                <w:szCs w:val="20"/>
              </w:rPr>
            </w:pPr>
            <w:r>
              <w:rPr>
                <w:rFonts w:asciiTheme="majorHAnsi" w:hAnsiTheme="majorHAnsi" w:cstheme="majorHAnsi"/>
                <w:sz w:val="20"/>
                <w:szCs w:val="20"/>
              </w:rPr>
              <w:t xml:space="preserve">Description </w:t>
            </w:r>
            <w:r w:rsidRPr="009F63C7">
              <w:rPr>
                <w:rFonts w:asciiTheme="majorHAnsi" w:hAnsiTheme="majorHAnsi" w:cstheme="majorHAnsi"/>
                <w:sz w:val="20"/>
                <w:szCs w:val="20"/>
              </w:rPr>
              <w:t xml:space="preserve">of policy, legal instrument, investment or curriculum to which CGIAR contributed </w:t>
            </w:r>
            <w:r w:rsidRPr="003761DA">
              <w:rPr>
                <w:rFonts w:asciiTheme="majorHAnsi" w:hAnsiTheme="majorHAnsi" w:cstheme="majorHAnsi"/>
                <w:sz w:val="20"/>
                <w:szCs w:val="20"/>
                <w:highlight w:val="yellow"/>
              </w:rPr>
              <w:t>(</w:t>
            </w:r>
            <w:r w:rsidRPr="00B17264">
              <w:rPr>
                <w:rFonts w:asciiTheme="majorHAnsi" w:hAnsiTheme="majorHAnsi" w:cstheme="majorHAnsi"/>
                <w:sz w:val="20"/>
                <w:szCs w:val="20"/>
                <w:highlight w:val="green"/>
              </w:rPr>
              <w:t>30 words</w:t>
            </w:r>
            <w:r w:rsidRPr="009F63C7">
              <w:rPr>
                <w:rFonts w:asciiTheme="majorHAnsi" w:hAnsiTheme="majorHAnsi" w:cstheme="majorHAnsi"/>
                <w:sz w:val="20"/>
                <w:szCs w:val="20"/>
              </w:rPr>
              <w:t>)</w:t>
            </w:r>
            <w:r>
              <w:rPr>
                <w:rFonts w:asciiTheme="majorHAnsi" w:hAnsiTheme="majorHAnsi" w:cstheme="majorHAnsi"/>
                <w:sz w:val="20"/>
                <w:szCs w:val="20"/>
              </w:rPr>
              <w:t xml:space="preserve">.  See guidance for what to cover. </w:t>
            </w:r>
          </w:p>
          <w:p w14:paraId="52885D90" w14:textId="77777777" w:rsidR="00A3515A" w:rsidRPr="009F63C7" w:rsidRDefault="00A3515A" w:rsidP="0070227C">
            <w:pPr>
              <w:rPr>
                <w:rFonts w:asciiTheme="majorHAnsi" w:hAnsiTheme="majorHAnsi" w:cstheme="majorHAnsi"/>
                <w:sz w:val="20"/>
                <w:szCs w:val="20"/>
              </w:rPr>
            </w:pPr>
          </w:p>
        </w:tc>
        <w:tc>
          <w:tcPr>
            <w:tcW w:w="520" w:type="pct"/>
            <w:vMerge w:val="restart"/>
            <w:tcBorders>
              <w:top w:val="single" w:sz="6" w:space="0" w:color="000000"/>
              <w:left w:val="single" w:sz="6" w:space="0" w:color="000000"/>
              <w:right w:val="single" w:sz="6" w:space="0" w:color="000000"/>
            </w:tcBorders>
          </w:tcPr>
          <w:p w14:paraId="547A4264"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Level of Maturity</w:t>
            </w:r>
          </w:p>
        </w:tc>
        <w:tc>
          <w:tcPr>
            <w:tcW w:w="520" w:type="pct"/>
            <w:vMerge w:val="restart"/>
            <w:tcBorders>
              <w:top w:val="single" w:sz="6" w:space="0" w:color="000000"/>
              <w:left w:val="single" w:sz="6" w:space="0" w:color="000000"/>
              <w:right w:val="single" w:sz="6" w:space="0" w:color="000000"/>
            </w:tcBorders>
          </w:tcPr>
          <w:p w14:paraId="7151D170"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Link to sub-IDOs (max. 2)</w:t>
            </w:r>
          </w:p>
        </w:tc>
        <w:tc>
          <w:tcPr>
            <w:tcW w:w="1421" w:type="pct"/>
            <w:gridSpan w:val="4"/>
            <w:tcBorders>
              <w:top w:val="single" w:sz="6" w:space="0" w:color="000000"/>
              <w:left w:val="single" w:sz="6" w:space="0" w:color="000000"/>
              <w:bottom w:val="single" w:sz="12" w:space="0" w:color="000000"/>
              <w:right w:val="single" w:sz="6" w:space="0" w:color="000000"/>
            </w:tcBorders>
          </w:tcPr>
          <w:p w14:paraId="6ADCB118" w14:textId="77777777" w:rsidR="00A3515A" w:rsidRPr="009F63C7" w:rsidRDefault="00A3515A" w:rsidP="0070227C">
            <w:pPr>
              <w:jc w:val="center"/>
              <w:rPr>
                <w:rFonts w:asciiTheme="majorHAnsi" w:hAnsiTheme="majorHAnsi" w:cstheme="majorHAnsi"/>
                <w:sz w:val="20"/>
                <w:szCs w:val="20"/>
                <w:highlight w:val="white"/>
              </w:rPr>
            </w:pPr>
            <w:r w:rsidRPr="009F63C7">
              <w:rPr>
                <w:rFonts w:asciiTheme="majorHAnsi" w:hAnsiTheme="majorHAnsi" w:cstheme="majorHAnsi"/>
                <w:sz w:val="20"/>
                <w:szCs w:val="20"/>
              </w:rPr>
              <w:t>CGIAR cross-cutting marker score</w:t>
            </w:r>
          </w:p>
        </w:tc>
        <w:tc>
          <w:tcPr>
            <w:tcW w:w="521" w:type="pct"/>
            <w:tcBorders>
              <w:left w:val="single" w:sz="6" w:space="0" w:color="000000"/>
              <w:bottom w:val="single" w:sz="12" w:space="0" w:color="000000"/>
              <w:right w:val="single" w:sz="6" w:space="0" w:color="000000"/>
            </w:tcBorders>
          </w:tcPr>
          <w:p w14:paraId="2F82C5DA" w14:textId="77777777" w:rsidR="00A3515A" w:rsidRPr="009F63C7" w:rsidRDefault="00A3515A" w:rsidP="0070227C">
            <w:pPr>
              <w:jc w:val="center"/>
              <w:rPr>
                <w:rFonts w:asciiTheme="majorHAnsi" w:hAnsiTheme="majorHAnsi" w:cstheme="majorHAnsi"/>
                <w:sz w:val="20"/>
                <w:szCs w:val="20"/>
              </w:rPr>
            </w:pPr>
            <w:r w:rsidRPr="009F63C7">
              <w:rPr>
                <w:rFonts w:asciiTheme="majorHAnsi" w:hAnsiTheme="majorHAnsi" w:cstheme="majorHAnsi"/>
                <w:sz w:val="20"/>
                <w:szCs w:val="20"/>
              </w:rPr>
              <w:t>Link to OICR (obligatory if Level of Maturity is 2 or 3) or link to evidence  (e.g. PDF generated from MIS)</w:t>
            </w:r>
          </w:p>
        </w:tc>
      </w:tr>
      <w:tr w:rsidR="00A3515A" w:rsidRPr="009F63C7" w14:paraId="30F437AD" w14:textId="77777777" w:rsidTr="0070227C">
        <w:trPr>
          <w:trHeight w:val="598"/>
        </w:trPr>
        <w:tc>
          <w:tcPr>
            <w:tcW w:w="737" w:type="pct"/>
            <w:vMerge/>
            <w:tcBorders>
              <w:left w:val="single" w:sz="6" w:space="0" w:color="000000"/>
              <w:bottom w:val="single" w:sz="6" w:space="0" w:color="000000"/>
              <w:right w:val="single" w:sz="6" w:space="0" w:color="000000"/>
            </w:tcBorders>
            <w:shd w:val="clear" w:color="auto" w:fill="D9E2F3"/>
          </w:tcPr>
          <w:p w14:paraId="10B825D7" w14:textId="77777777" w:rsidR="00A3515A" w:rsidRPr="009F63C7" w:rsidRDefault="00A3515A" w:rsidP="0070227C">
            <w:pPr>
              <w:rPr>
                <w:rFonts w:asciiTheme="majorHAnsi" w:hAnsiTheme="majorHAnsi" w:cstheme="majorHAnsi"/>
                <w:sz w:val="20"/>
                <w:szCs w:val="20"/>
              </w:rPr>
            </w:pPr>
          </w:p>
        </w:tc>
        <w:tc>
          <w:tcPr>
            <w:tcW w:w="1280" w:type="pct"/>
            <w:vMerge/>
            <w:tcBorders>
              <w:left w:val="single" w:sz="6" w:space="0" w:color="000000"/>
              <w:bottom w:val="single" w:sz="6" w:space="0" w:color="000000"/>
              <w:right w:val="single" w:sz="6" w:space="0" w:color="000000"/>
            </w:tcBorders>
          </w:tcPr>
          <w:p w14:paraId="03906C52" w14:textId="77777777" w:rsidR="00A3515A" w:rsidRPr="009F63C7" w:rsidRDefault="00A3515A" w:rsidP="0070227C">
            <w:pPr>
              <w:rPr>
                <w:rFonts w:asciiTheme="majorHAnsi" w:hAnsiTheme="majorHAnsi" w:cstheme="majorHAnsi"/>
                <w:sz w:val="20"/>
                <w:szCs w:val="20"/>
              </w:rPr>
            </w:pPr>
          </w:p>
        </w:tc>
        <w:tc>
          <w:tcPr>
            <w:tcW w:w="520" w:type="pct"/>
            <w:vMerge/>
            <w:tcBorders>
              <w:left w:val="single" w:sz="6" w:space="0" w:color="000000"/>
              <w:bottom w:val="single" w:sz="6" w:space="0" w:color="000000"/>
              <w:right w:val="single" w:sz="6" w:space="0" w:color="000000"/>
            </w:tcBorders>
          </w:tcPr>
          <w:p w14:paraId="569836A4" w14:textId="77777777" w:rsidR="00A3515A" w:rsidRPr="009F63C7" w:rsidRDefault="00A3515A" w:rsidP="0070227C">
            <w:pPr>
              <w:rPr>
                <w:rFonts w:asciiTheme="majorHAnsi" w:hAnsiTheme="majorHAnsi" w:cstheme="majorHAnsi"/>
                <w:sz w:val="20"/>
                <w:szCs w:val="20"/>
              </w:rPr>
            </w:pPr>
          </w:p>
        </w:tc>
        <w:tc>
          <w:tcPr>
            <w:tcW w:w="520" w:type="pct"/>
            <w:vMerge/>
            <w:tcBorders>
              <w:left w:val="single" w:sz="6" w:space="0" w:color="000000"/>
              <w:bottom w:val="single" w:sz="6" w:space="0" w:color="000000"/>
              <w:right w:val="single" w:sz="6" w:space="0" w:color="000000"/>
            </w:tcBorders>
          </w:tcPr>
          <w:p w14:paraId="28751BE7" w14:textId="77777777" w:rsidR="00A3515A" w:rsidRPr="009F63C7" w:rsidRDefault="00A3515A" w:rsidP="0070227C">
            <w:pPr>
              <w:rPr>
                <w:rFonts w:asciiTheme="majorHAnsi" w:hAnsiTheme="majorHAnsi" w:cstheme="majorHAnsi"/>
                <w:sz w:val="20"/>
                <w:szCs w:val="20"/>
              </w:rPr>
            </w:pPr>
          </w:p>
        </w:tc>
        <w:tc>
          <w:tcPr>
            <w:tcW w:w="298" w:type="pct"/>
            <w:tcBorders>
              <w:top w:val="single" w:sz="6" w:space="0" w:color="000000"/>
              <w:left w:val="single" w:sz="6" w:space="0" w:color="000000"/>
              <w:bottom w:val="single" w:sz="6" w:space="0" w:color="000000"/>
              <w:right w:val="single" w:sz="6" w:space="0" w:color="000000"/>
            </w:tcBorders>
          </w:tcPr>
          <w:p w14:paraId="2FBC3D18"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highlight w:val="white"/>
              </w:rPr>
              <w:t>gender</w:t>
            </w:r>
          </w:p>
        </w:tc>
        <w:tc>
          <w:tcPr>
            <w:tcW w:w="354" w:type="pct"/>
            <w:tcBorders>
              <w:top w:val="single" w:sz="6" w:space="0" w:color="000000"/>
              <w:left w:val="single" w:sz="6" w:space="0" w:color="000000"/>
              <w:bottom w:val="single" w:sz="6" w:space="0" w:color="000000"/>
              <w:right w:val="single" w:sz="6" w:space="0" w:color="000000"/>
            </w:tcBorders>
          </w:tcPr>
          <w:p w14:paraId="638082D4"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highlight w:val="white"/>
              </w:rPr>
              <w:t>youth</w:t>
            </w:r>
          </w:p>
        </w:tc>
        <w:tc>
          <w:tcPr>
            <w:tcW w:w="373" w:type="pct"/>
            <w:tcBorders>
              <w:top w:val="single" w:sz="6" w:space="0" w:color="000000"/>
              <w:left w:val="single" w:sz="6" w:space="0" w:color="000000"/>
              <w:bottom w:val="single" w:sz="6" w:space="0" w:color="000000"/>
              <w:right w:val="single" w:sz="6" w:space="0" w:color="000000"/>
            </w:tcBorders>
          </w:tcPr>
          <w:p w14:paraId="5427F94C" w14:textId="77777777" w:rsidR="00A3515A" w:rsidRPr="009F63C7" w:rsidRDefault="00A3515A" w:rsidP="0070227C">
            <w:pPr>
              <w:rPr>
                <w:rFonts w:asciiTheme="majorHAnsi" w:hAnsiTheme="majorHAnsi" w:cstheme="majorHAnsi"/>
                <w:sz w:val="20"/>
                <w:szCs w:val="20"/>
                <w:highlight w:val="white"/>
              </w:rPr>
            </w:pPr>
            <w:proofErr w:type="spellStart"/>
            <w:r w:rsidRPr="009F63C7">
              <w:rPr>
                <w:rFonts w:asciiTheme="majorHAnsi" w:hAnsiTheme="majorHAnsi" w:cstheme="majorHAnsi"/>
                <w:sz w:val="20"/>
                <w:szCs w:val="20"/>
                <w:highlight w:val="white"/>
              </w:rPr>
              <w:t>capdev</w:t>
            </w:r>
            <w:proofErr w:type="spellEnd"/>
          </w:p>
        </w:tc>
        <w:tc>
          <w:tcPr>
            <w:tcW w:w="396" w:type="pct"/>
            <w:tcBorders>
              <w:top w:val="single" w:sz="6" w:space="0" w:color="000000"/>
              <w:left w:val="single" w:sz="6" w:space="0" w:color="000000"/>
              <w:bottom w:val="single" w:sz="6" w:space="0" w:color="000000"/>
              <w:right w:val="single" w:sz="6" w:space="0" w:color="000000"/>
            </w:tcBorders>
          </w:tcPr>
          <w:p w14:paraId="1C93C33C"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highlight w:val="white"/>
              </w:rPr>
              <w:t>Climate Change</w:t>
            </w:r>
          </w:p>
        </w:tc>
        <w:tc>
          <w:tcPr>
            <w:tcW w:w="521" w:type="pct"/>
            <w:tcBorders>
              <w:top w:val="single" w:sz="6" w:space="0" w:color="000000"/>
              <w:left w:val="single" w:sz="6" w:space="0" w:color="000000"/>
              <w:bottom w:val="single" w:sz="6" w:space="0" w:color="000000"/>
              <w:right w:val="single" w:sz="6" w:space="0" w:color="000000"/>
            </w:tcBorders>
          </w:tcPr>
          <w:p w14:paraId="6BB59A7A" w14:textId="77777777" w:rsidR="00A3515A" w:rsidRPr="009F63C7" w:rsidRDefault="00A3515A" w:rsidP="0070227C">
            <w:pPr>
              <w:rPr>
                <w:rFonts w:asciiTheme="majorHAnsi" w:hAnsiTheme="majorHAnsi" w:cstheme="majorHAnsi"/>
                <w:sz w:val="20"/>
                <w:szCs w:val="20"/>
                <w:highlight w:val="white"/>
              </w:rPr>
            </w:pPr>
          </w:p>
        </w:tc>
      </w:tr>
      <w:tr w:rsidR="00A3515A" w:rsidRPr="009F63C7" w14:paraId="1B3DD432" w14:textId="77777777" w:rsidTr="0070227C">
        <w:trPr>
          <w:trHeight w:val="238"/>
        </w:trPr>
        <w:tc>
          <w:tcPr>
            <w:tcW w:w="737" w:type="pct"/>
            <w:tcBorders>
              <w:top w:val="single" w:sz="6" w:space="0" w:color="000000"/>
              <w:left w:val="single" w:sz="6" w:space="0" w:color="000000"/>
              <w:bottom w:val="single" w:sz="12" w:space="0" w:color="000000"/>
              <w:right w:val="single" w:sz="6" w:space="0" w:color="000000"/>
            </w:tcBorders>
            <w:shd w:val="clear" w:color="auto" w:fill="D9E2F3"/>
          </w:tcPr>
          <w:p w14:paraId="2408BD58" w14:textId="77777777" w:rsidR="00A3515A" w:rsidRPr="009F63C7" w:rsidRDefault="00A3515A" w:rsidP="0070227C">
            <w:pPr>
              <w:rPr>
                <w:rFonts w:asciiTheme="majorHAnsi" w:hAnsiTheme="majorHAnsi" w:cstheme="majorHAnsi"/>
                <w:sz w:val="20"/>
                <w:szCs w:val="20"/>
              </w:rPr>
            </w:pPr>
          </w:p>
        </w:tc>
        <w:tc>
          <w:tcPr>
            <w:tcW w:w="1280" w:type="pct"/>
            <w:tcBorders>
              <w:top w:val="single" w:sz="6" w:space="0" w:color="000000"/>
              <w:left w:val="single" w:sz="6" w:space="0" w:color="000000"/>
              <w:bottom w:val="single" w:sz="12" w:space="0" w:color="000000"/>
              <w:right w:val="single" w:sz="6" w:space="0" w:color="000000"/>
            </w:tcBorders>
          </w:tcPr>
          <w:p w14:paraId="7E54961B" w14:textId="77777777" w:rsidR="00A3515A" w:rsidRPr="009F63C7" w:rsidRDefault="00A3515A" w:rsidP="0070227C">
            <w:pPr>
              <w:rPr>
                <w:rFonts w:asciiTheme="majorHAnsi" w:hAnsiTheme="majorHAnsi" w:cstheme="majorHAnsi"/>
                <w:sz w:val="20"/>
                <w:szCs w:val="20"/>
              </w:rPr>
            </w:pPr>
          </w:p>
        </w:tc>
        <w:tc>
          <w:tcPr>
            <w:tcW w:w="520" w:type="pct"/>
            <w:tcBorders>
              <w:top w:val="single" w:sz="6" w:space="0" w:color="000000"/>
              <w:left w:val="single" w:sz="6" w:space="0" w:color="000000"/>
              <w:bottom w:val="single" w:sz="12" w:space="0" w:color="000000"/>
              <w:right w:val="single" w:sz="6" w:space="0" w:color="000000"/>
            </w:tcBorders>
          </w:tcPr>
          <w:p w14:paraId="0E0F9268" w14:textId="77777777" w:rsidR="00A3515A" w:rsidRPr="009F63C7" w:rsidRDefault="00A3515A" w:rsidP="0070227C">
            <w:pPr>
              <w:rPr>
                <w:rFonts w:asciiTheme="majorHAnsi" w:hAnsiTheme="majorHAnsi" w:cstheme="majorHAnsi"/>
                <w:sz w:val="20"/>
                <w:szCs w:val="20"/>
              </w:rPr>
            </w:pPr>
          </w:p>
        </w:tc>
        <w:tc>
          <w:tcPr>
            <w:tcW w:w="520" w:type="pct"/>
            <w:tcBorders>
              <w:top w:val="single" w:sz="6" w:space="0" w:color="000000"/>
              <w:left w:val="single" w:sz="6" w:space="0" w:color="000000"/>
              <w:bottom w:val="single" w:sz="12" w:space="0" w:color="000000"/>
              <w:right w:val="single" w:sz="6" w:space="0" w:color="000000"/>
            </w:tcBorders>
          </w:tcPr>
          <w:p w14:paraId="0670585B" w14:textId="77777777" w:rsidR="00A3515A" w:rsidRPr="009F63C7" w:rsidRDefault="00A3515A" w:rsidP="0070227C">
            <w:pPr>
              <w:rPr>
                <w:rFonts w:asciiTheme="majorHAnsi" w:hAnsiTheme="majorHAnsi" w:cstheme="majorHAnsi"/>
                <w:sz w:val="20"/>
                <w:szCs w:val="20"/>
              </w:rPr>
            </w:pPr>
          </w:p>
        </w:tc>
        <w:tc>
          <w:tcPr>
            <w:tcW w:w="298" w:type="pct"/>
            <w:tcBorders>
              <w:top w:val="single" w:sz="6" w:space="0" w:color="000000"/>
              <w:left w:val="single" w:sz="6" w:space="0" w:color="000000"/>
              <w:bottom w:val="single" w:sz="12" w:space="0" w:color="000000"/>
              <w:right w:val="single" w:sz="6" w:space="0" w:color="000000"/>
            </w:tcBorders>
          </w:tcPr>
          <w:p w14:paraId="1EFA53DB" w14:textId="77777777" w:rsidR="00A3515A" w:rsidRPr="009F63C7" w:rsidRDefault="00A3515A" w:rsidP="0070227C">
            <w:pPr>
              <w:rPr>
                <w:rFonts w:asciiTheme="majorHAnsi" w:hAnsiTheme="majorHAnsi" w:cstheme="majorHAnsi"/>
                <w:sz w:val="20"/>
                <w:szCs w:val="20"/>
                <w:highlight w:val="white"/>
              </w:rPr>
            </w:pPr>
          </w:p>
        </w:tc>
        <w:tc>
          <w:tcPr>
            <w:tcW w:w="354" w:type="pct"/>
            <w:tcBorders>
              <w:top w:val="single" w:sz="6" w:space="0" w:color="000000"/>
              <w:left w:val="single" w:sz="6" w:space="0" w:color="000000"/>
              <w:bottom w:val="single" w:sz="12" w:space="0" w:color="000000"/>
              <w:right w:val="single" w:sz="6" w:space="0" w:color="000000"/>
            </w:tcBorders>
          </w:tcPr>
          <w:p w14:paraId="046FC643" w14:textId="77777777" w:rsidR="00A3515A" w:rsidRPr="009F63C7" w:rsidRDefault="00A3515A" w:rsidP="0070227C">
            <w:pPr>
              <w:rPr>
                <w:rFonts w:asciiTheme="majorHAnsi" w:hAnsiTheme="majorHAnsi" w:cstheme="majorHAnsi"/>
                <w:sz w:val="20"/>
                <w:szCs w:val="20"/>
                <w:highlight w:val="white"/>
              </w:rPr>
            </w:pPr>
          </w:p>
        </w:tc>
        <w:tc>
          <w:tcPr>
            <w:tcW w:w="373" w:type="pct"/>
            <w:tcBorders>
              <w:top w:val="single" w:sz="6" w:space="0" w:color="000000"/>
              <w:left w:val="single" w:sz="6" w:space="0" w:color="000000"/>
              <w:bottom w:val="single" w:sz="12" w:space="0" w:color="000000"/>
              <w:right w:val="single" w:sz="6" w:space="0" w:color="000000"/>
            </w:tcBorders>
          </w:tcPr>
          <w:p w14:paraId="4F15B9AD" w14:textId="77777777" w:rsidR="00A3515A" w:rsidRPr="009F63C7" w:rsidRDefault="00A3515A" w:rsidP="0070227C">
            <w:pPr>
              <w:rPr>
                <w:rFonts w:asciiTheme="majorHAnsi" w:hAnsiTheme="majorHAnsi" w:cstheme="majorHAnsi"/>
                <w:sz w:val="20"/>
                <w:szCs w:val="20"/>
                <w:highlight w:val="white"/>
              </w:rPr>
            </w:pPr>
          </w:p>
        </w:tc>
        <w:tc>
          <w:tcPr>
            <w:tcW w:w="396" w:type="pct"/>
            <w:tcBorders>
              <w:top w:val="single" w:sz="6" w:space="0" w:color="000000"/>
              <w:left w:val="single" w:sz="6" w:space="0" w:color="000000"/>
              <w:bottom w:val="single" w:sz="12" w:space="0" w:color="000000"/>
              <w:right w:val="single" w:sz="6" w:space="0" w:color="000000"/>
            </w:tcBorders>
          </w:tcPr>
          <w:p w14:paraId="0F810AAD" w14:textId="77777777" w:rsidR="00A3515A" w:rsidRPr="009F63C7" w:rsidRDefault="00A3515A" w:rsidP="0070227C">
            <w:pPr>
              <w:rPr>
                <w:rFonts w:asciiTheme="majorHAnsi" w:hAnsiTheme="majorHAnsi" w:cstheme="majorHAnsi"/>
                <w:sz w:val="20"/>
                <w:szCs w:val="20"/>
                <w:highlight w:val="white"/>
              </w:rPr>
            </w:pPr>
          </w:p>
        </w:tc>
        <w:tc>
          <w:tcPr>
            <w:tcW w:w="521" w:type="pct"/>
            <w:tcBorders>
              <w:top w:val="single" w:sz="6" w:space="0" w:color="000000"/>
              <w:left w:val="single" w:sz="6" w:space="0" w:color="000000"/>
              <w:bottom w:val="single" w:sz="12" w:space="0" w:color="000000"/>
              <w:right w:val="single" w:sz="6" w:space="0" w:color="000000"/>
            </w:tcBorders>
          </w:tcPr>
          <w:p w14:paraId="648346BE" w14:textId="77777777" w:rsidR="00A3515A" w:rsidRPr="009F63C7" w:rsidRDefault="00A3515A" w:rsidP="0070227C">
            <w:pPr>
              <w:rPr>
                <w:rFonts w:asciiTheme="majorHAnsi" w:hAnsiTheme="majorHAnsi" w:cstheme="majorHAnsi"/>
                <w:sz w:val="20"/>
                <w:szCs w:val="20"/>
                <w:highlight w:val="white"/>
              </w:rPr>
            </w:pPr>
          </w:p>
        </w:tc>
      </w:tr>
    </w:tbl>
    <w:p w14:paraId="3BA355F0" w14:textId="15DB339E" w:rsidR="006E40C8" w:rsidRDefault="006E40C8" w:rsidP="006E40C8">
      <w:pPr>
        <w:contextualSpacing/>
      </w:pPr>
    </w:p>
    <w:p w14:paraId="1557F67D" w14:textId="0ECCDA85" w:rsidR="00FD05CF" w:rsidRDefault="00FD05CF" w:rsidP="006E40C8">
      <w:pPr>
        <w:contextualSpacing/>
      </w:pPr>
    </w:p>
    <w:p w14:paraId="63E7C986" w14:textId="37A50AC9" w:rsidR="00FD05CF" w:rsidRDefault="00FD05CF" w:rsidP="006E40C8">
      <w:pPr>
        <w:contextualSpacing/>
      </w:pPr>
    </w:p>
    <w:p w14:paraId="519BA2E0" w14:textId="77777777" w:rsidR="00FD05CF" w:rsidRDefault="00FD05CF" w:rsidP="006E40C8">
      <w:pPr>
        <w:contextualSpacing/>
      </w:pPr>
    </w:p>
    <w:p w14:paraId="73C3C69E" w14:textId="77777777" w:rsidR="00703DB8" w:rsidRDefault="00703DB8">
      <w:pPr>
        <w:rPr>
          <w:rFonts w:asciiTheme="majorHAnsi" w:eastAsiaTheme="majorEastAsia" w:hAnsiTheme="majorHAnsi" w:cstheme="majorBidi"/>
          <w:color w:val="BFBFBF" w:themeColor="background1" w:themeShade="BF"/>
          <w:szCs w:val="32"/>
        </w:rPr>
      </w:pPr>
      <w:bookmarkStart w:id="33" w:name="_Ref531264500"/>
      <w:bookmarkStart w:id="34" w:name="_Toc531264776"/>
      <w:bookmarkStart w:id="35" w:name="_Hlk531117973"/>
      <w:bookmarkStart w:id="36" w:name="_Toc531191910"/>
      <w:bookmarkStart w:id="37" w:name="_Ref531211982"/>
      <w:bookmarkStart w:id="38" w:name="_Ref531211983"/>
      <w:bookmarkEnd w:id="32"/>
      <w:r>
        <w:rPr>
          <w:color w:val="BFBFBF" w:themeColor="background1" w:themeShade="BF"/>
        </w:rPr>
        <w:br w:type="page"/>
      </w:r>
    </w:p>
    <w:p w14:paraId="0424A79E" w14:textId="26570767" w:rsidR="006E40C8" w:rsidRDefault="006E40C8" w:rsidP="006E40C8">
      <w:pPr>
        <w:pStyle w:val="Heading1"/>
      </w:pPr>
      <w:r w:rsidRPr="00413F1B">
        <w:rPr>
          <w:color w:val="BFBFBF" w:themeColor="background1" w:themeShade="BF"/>
          <w:sz w:val="24"/>
        </w:rPr>
        <w:lastRenderedPageBreak/>
        <w:t>Table 4:  Condensed list of innovations by stage for this reporting year</w:t>
      </w:r>
      <w:bookmarkEnd w:id="33"/>
      <w:bookmarkEnd w:id="34"/>
    </w:p>
    <w:p w14:paraId="0D3EFA32" w14:textId="77777777" w:rsidR="006E40C8" w:rsidRPr="00602581" w:rsidRDefault="006E40C8" w:rsidP="006E40C8">
      <w:r>
        <w:t xml:space="preserve">Please complete the table below and report the supporting document in MEL unless you have already an external link to be provided.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07"/>
        <w:gridCol w:w="2967"/>
        <w:gridCol w:w="3488"/>
        <w:gridCol w:w="3488"/>
      </w:tblGrid>
      <w:tr w:rsidR="00A3515A" w:rsidRPr="009F63C7" w14:paraId="68CE74EE" w14:textId="77777777" w:rsidTr="0070227C">
        <w:trPr>
          <w:trHeight w:val="377"/>
        </w:trPr>
        <w:tc>
          <w:tcPr>
            <w:tcW w:w="1436" w:type="pct"/>
          </w:tcPr>
          <w:p w14:paraId="1EDD67BC" w14:textId="77777777" w:rsidR="00A3515A" w:rsidRPr="009F63C7" w:rsidRDefault="00A3515A" w:rsidP="0070227C">
            <w:pPr>
              <w:spacing w:before="100"/>
              <w:rPr>
                <w:rFonts w:asciiTheme="majorHAnsi" w:hAnsiTheme="majorHAnsi" w:cstheme="majorHAnsi"/>
                <w:b/>
                <w:sz w:val="20"/>
                <w:szCs w:val="20"/>
              </w:rPr>
            </w:pPr>
            <w:r w:rsidRPr="009F63C7">
              <w:rPr>
                <w:rFonts w:asciiTheme="majorHAnsi" w:hAnsiTheme="majorHAnsi" w:cstheme="majorHAnsi"/>
                <w:b/>
                <w:sz w:val="20"/>
                <w:szCs w:val="20"/>
              </w:rPr>
              <w:t>Column 1</w:t>
            </w:r>
          </w:p>
        </w:tc>
        <w:tc>
          <w:tcPr>
            <w:tcW w:w="1063" w:type="pct"/>
          </w:tcPr>
          <w:p w14:paraId="2EE151F8" w14:textId="77777777" w:rsidR="00A3515A" w:rsidRPr="009F63C7" w:rsidRDefault="00A3515A" w:rsidP="0070227C">
            <w:pPr>
              <w:spacing w:before="100"/>
              <w:rPr>
                <w:rFonts w:asciiTheme="majorHAnsi" w:hAnsiTheme="majorHAnsi" w:cstheme="majorHAnsi"/>
                <w:b/>
                <w:sz w:val="20"/>
                <w:szCs w:val="20"/>
              </w:rPr>
            </w:pPr>
            <w:r w:rsidRPr="009F63C7">
              <w:rPr>
                <w:rFonts w:asciiTheme="majorHAnsi" w:hAnsiTheme="majorHAnsi" w:cstheme="majorHAnsi"/>
                <w:b/>
                <w:sz w:val="20"/>
                <w:szCs w:val="20"/>
              </w:rPr>
              <w:t>Column 2</w:t>
            </w:r>
          </w:p>
        </w:tc>
        <w:tc>
          <w:tcPr>
            <w:tcW w:w="1250" w:type="pct"/>
          </w:tcPr>
          <w:p w14:paraId="15125330" w14:textId="77777777" w:rsidR="00A3515A" w:rsidRPr="009F63C7" w:rsidRDefault="00A3515A" w:rsidP="0070227C">
            <w:pPr>
              <w:tabs>
                <w:tab w:val="left" w:pos="1327"/>
              </w:tabs>
              <w:spacing w:before="100"/>
              <w:rPr>
                <w:rFonts w:asciiTheme="majorHAnsi" w:hAnsiTheme="majorHAnsi" w:cstheme="majorHAnsi"/>
                <w:b/>
                <w:sz w:val="20"/>
                <w:szCs w:val="20"/>
              </w:rPr>
            </w:pPr>
            <w:r w:rsidRPr="009F63C7">
              <w:rPr>
                <w:rFonts w:asciiTheme="majorHAnsi" w:hAnsiTheme="majorHAnsi" w:cstheme="majorHAnsi"/>
                <w:b/>
                <w:sz w:val="20"/>
                <w:szCs w:val="20"/>
              </w:rPr>
              <w:t>Column 3</w:t>
            </w:r>
          </w:p>
        </w:tc>
        <w:tc>
          <w:tcPr>
            <w:tcW w:w="1250" w:type="pct"/>
          </w:tcPr>
          <w:p w14:paraId="7B0E25D6" w14:textId="77777777" w:rsidR="00A3515A" w:rsidRPr="009F63C7" w:rsidRDefault="00A3515A" w:rsidP="0070227C">
            <w:pPr>
              <w:tabs>
                <w:tab w:val="left" w:pos="1327"/>
              </w:tabs>
              <w:spacing w:before="100"/>
              <w:rPr>
                <w:rFonts w:asciiTheme="majorHAnsi" w:hAnsiTheme="majorHAnsi" w:cstheme="majorHAnsi"/>
                <w:b/>
                <w:sz w:val="20"/>
                <w:szCs w:val="20"/>
              </w:rPr>
            </w:pPr>
            <w:r w:rsidRPr="009F63C7">
              <w:rPr>
                <w:rFonts w:asciiTheme="majorHAnsi" w:hAnsiTheme="majorHAnsi" w:cstheme="majorHAnsi"/>
                <w:b/>
                <w:sz w:val="20"/>
                <w:szCs w:val="20"/>
              </w:rPr>
              <w:t>Column 4</w:t>
            </w:r>
          </w:p>
        </w:tc>
      </w:tr>
      <w:tr w:rsidR="00A3515A" w:rsidRPr="009F63C7" w14:paraId="1C80E76A" w14:textId="77777777" w:rsidTr="0070227C">
        <w:tc>
          <w:tcPr>
            <w:tcW w:w="1436" w:type="pct"/>
            <w:shd w:val="clear" w:color="auto" w:fill="FFF2CC"/>
          </w:tcPr>
          <w:p w14:paraId="5368C7C5" w14:textId="77777777" w:rsidR="00A3515A" w:rsidRPr="009F63C7" w:rsidRDefault="00A3515A" w:rsidP="0070227C">
            <w:pPr>
              <w:spacing w:before="100"/>
              <w:rPr>
                <w:rFonts w:asciiTheme="majorHAnsi" w:hAnsiTheme="majorHAnsi" w:cstheme="majorHAnsi"/>
                <w:sz w:val="20"/>
                <w:szCs w:val="20"/>
              </w:rPr>
            </w:pPr>
            <w:r w:rsidRPr="009F63C7">
              <w:rPr>
                <w:rFonts w:asciiTheme="majorHAnsi" w:hAnsiTheme="majorHAnsi" w:cstheme="majorHAnsi"/>
                <w:b/>
                <w:sz w:val="20"/>
                <w:szCs w:val="20"/>
              </w:rPr>
              <w:t>Title of innovation with link</w:t>
            </w:r>
            <w:r w:rsidRPr="009F63C7">
              <w:rPr>
                <w:rFonts w:asciiTheme="majorHAnsi" w:hAnsiTheme="majorHAnsi" w:cstheme="majorHAnsi"/>
                <w:sz w:val="20"/>
                <w:szCs w:val="20"/>
              </w:rPr>
              <w:t xml:space="preserve"> (e.g. to CLARISA dashboard, MARLO).</w:t>
            </w:r>
          </w:p>
        </w:tc>
        <w:tc>
          <w:tcPr>
            <w:tcW w:w="1063" w:type="pct"/>
            <w:shd w:val="clear" w:color="auto" w:fill="FFF2CC"/>
          </w:tcPr>
          <w:p w14:paraId="75C4AD53" w14:textId="77777777" w:rsidR="00A3515A" w:rsidRPr="009F63C7" w:rsidRDefault="00A3515A" w:rsidP="0070227C">
            <w:pPr>
              <w:spacing w:before="100"/>
              <w:ind w:left="360"/>
              <w:rPr>
                <w:rFonts w:asciiTheme="majorHAnsi" w:hAnsiTheme="majorHAnsi" w:cstheme="majorHAnsi"/>
                <w:sz w:val="20"/>
                <w:szCs w:val="20"/>
              </w:rPr>
            </w:pPr>
            <w:r w:rsidRPr="009F63C7">
              <w:rPr>
                <w:rFonts w:asciiTheme="majorHAnsi" w:hAnsiTheme="majorHAnsi" w:cstheme="majorHAnsi"/>
                <w:b/>
                <w:sz w:val="20"/>
                <w:szCs w:val="20"/>
              </w:rPr>
              <w:t>Innovation Type</w:t>
            </w:r>
          </w:p>
        </w:tc>
        <w:tc>
          <w:tcPr>
            <w:tcW w:w="1250" w:type="pct"/>
            <w:shd w:val="clear" w:color="auto" w:fill="FFF2CC"/>
          </w:tcPr>
          <w:p w14:paraId="153A446A" w14:textId="77777777" w:rsidR="00A3515A" w:rsidRPr="009F63C7" w:rsidRDefault="00A3515A" w:rsidP="0070227C">
            <w:pPr>
              <w:tabs>
                <w:tab w:val="left" w:pos="2722"/>
              </w:tabs>
              <w:ind w:left="360"/>
              <w:contextualSpacing/>
              <w:rPr>
                <w:rFonts w:asciiTheme="majorHAnsi" w:hAnsiTheme="majorHAnsi" w:cstheme="majorHAnsi"/>
                <w:sz w:val="20"/>
                <w:szCs w:val="20"/>
              </w:rPr>
            </w:pPr>
            <w:r w:rsidRPr="009F63C7">
              <w:rPr>
                <w:rFonts w:asciiTheme="majorHAnsi" w:hAnsiTheme="majorHAnsi" w:cstheme="majorHAnsi"/>
                <w:b/>
                <w:sz w:val="20"/>
                <w:szCs w:val="20"/>
              </w:rPr>
              <w:t>Stage of innovation</w:t>
            </w:r>
          </w:p>
        </w:tc>
        <w:tc>
          <w:tcPr>
            <w:tcW w:w="1250" w:type="pct"/>
            <w:shd w:val="clear" w:color="auto" w:fill="FFF2CC"/>
          </w:tcPr>
          <w:p w14:paraId="775F4256" w14:textId="77777777" w:rsidR="00A3515A" w:rsidRPr="009F63C7" w:rsidRDefault="00A3515A" w:rsidP="0070227C">
            <w:pPr>
              <w:tabs>
                <w:tab w:val="left" w:pos="2722"/>
              </w:tabs>
              <w:ind w:left="360"/>
              <w:contextualSpacing/>
              <w:rPr>
                <w:rFonts w:asciiTheme="majorHAnsi" w:hAnsiTheme="majorHAnsi" w:cstheme="majorHAnsi"/>
                <w:b/>
                <w:sz w:val="20"/>
                <w:szCs w:val="20"/>
              </w:rPr>
            </w:pPr>
            <w:r w:rsidRPr="009F63C7">
              <w:rPr>
                <w:rFonts w:asciiTheme="majorHAnsi" w:hAnsiTheme="majorHAnsi" w:cstheme="majorHAnsi"/>
                <w:b/>
                <w:sz w:val="20"/>
                <w:szCs w:val="20"/>
              </w:rPr>
              <w:t>Geographic scope (with location)</w:t>
            </w:r>
          </w:p>
        </w:tc>
      </w:tr>
      <w:tr w:rsidR="00A3515A" w:rsidRPr="009F63C7" w14:paraId="75E57219" w14:textId="77777777" w:rsidTr="0070227C">
        <w:trPr>
          <w:trHeight w:val="32"/>
        </w:trPr>
        <w:tc>
          <w:tcPr>
            <w:tcW w:w="1436" w:type="pct"/>
          </w:tcPr>
          <w:p w14:paraId="183A7EE3"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Please see indicator guidance for details</w:t>
            </w:r>
          </w:p>
        </w:tc>
        <w:tc>
          <w:tcPr>
            <w:tcW w:w="1063" w:type="pct"/>
          </w:tcPr>
          <w:p w14:paraId="172298D8"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 xml:space="preserve">e.g. genetic, </w:t>
            </w:r>
          </w:p>
        </w:tc>
        <w:tc>
          <w:tcPr>
            <w:tcW w:w="1250" w:type="pct"/>
          </w:tcPr>
          <w:p w14:paraId="254E49CC"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e.g.</w:t>
            </w:r>
          </w:p>
        </w:tc>
        <w:tc>
          <w:tcPr>
            <w:tcW w:w="1250" w:type="pct"/>
          </w:tcPr>
          <w:p w14:paraId="4771DAD8" w14:textId="77777777" w:rsidR="00A3515A" w:rsidRPr="009F63C7" w:rsidRDefault="00A3515A" w:rsidP="0070227C">
            <w:pPr>
              <w:rPr>
                <w:rFonts w:asciiTheme="majorHAnsi" w:hAnsiTheme="majorHAnsi" w:cstheme="majorHAnsi"/>
                <w:sz w:val="20"/>
                <w:szCs w:val="20"/>
              </w:rPr>
            </w:pPr>
            <w:r w:rsidRPr="009F63C7">
              <w:rPr>
                <w:rFonts w:asciiTheme="majorHAnsi" w:hAnsiTheme="majorHAnsi" w:cstheme="majorHAnsi"/>
                <w:sz w:val="20"/>
                <w:szCs w:val="20"/>
              </w:rPr>
              <w:t>e.g. global, regional- West Africa, national- Philippines</w:t>
            </w:r>
          </w:p>
        </w:tc>
      </w:tr>
      <w:tr w:rsidR="00A12BDC" w:rsidRPr="00A12BDC" w14:paraId="7E7D807B" w14:textId="77777777" w:rsidTr="0070227C">
        <w:trPr>
          <w:trHeight w:val="32"/>
        </w:trPr>
        <w:tc>
          <w:tcPr>
            <w:tcW w:w="1436" w:type="pct"/>
          </w:tcPr>
          <w:p w14:paraId="7CA58C5C" w14:textId="2FB046CD" w:rsidR="00A12BDC" w:rsidRPr="005C4E59" w:rsidRDefault="0028215C" w:rsidP="0070227C">
            <w:pPr>
              <w:rPr>
                <w:rFonts w:asciiTheme="majorHAnsi" w:eastAsia="Calibri" w:hAnsiTheme="majorHAnsi" w:cstheme="majorHAnsi"/>
                <w:sz w:val="20"/>
                <w:szCs w:val="20"/>
              </w:rPr>
            </w:pPr>
            <w:r w:rsidRPr="005C4E59">
              <w:rPr>
                <w:rFonts w:asciiTheme="majorHAnsi" w:eastAsia="Calibri" w:hAnsiTheme="majorHAnsi" w:cstheme="majorHAnsi"/>
                <w:sz w:val="20"/>
                <w:szCs w:val="20"/>
              </w:rPr>
              <w:t>Biocontrol</w:t>
            </w:r>
            <w:r w:rsidR="00114E75" w:rsidRPr="005C4E59">
              <w:rPr>
                <w:rFonts w:asciiTheme="majorHAnsi" w:eastAsia="Calibri" w:hAnsiTheme="majorHAnsi" w:cstheme="majorHAnsi"/>
                <w:sz w:val="20"/>
                <w:szCs w:val="20"/>
              </w:rPr>
              <w:t xml:space="preserve"> of pests and diseases</w:t>
            </w:r>
          </w:p>
        </w:tc>
        <w:tc>
          <w:tcPr>
            <w:tcW w:w="1063" w:type="pct"/>
          </w:tcPr>
          <w:p w14:paraId="76069BA8" w14:textId="6AACB3CF" w:rsidR="00A12BDC" w:rsidRPr="005C4E59" w:rsidRDefault="005F1417" w:rsidP="0070227C">
            <w:pPr>
              <w:rPr>
                <w:rFonts w:asciiTheme="majorHAnsi" w:hAnsiTheme="majorHAnsi" w:cstheme="majorHAnsi"/>
                <w:sz w:val="20"/>
                <w:szCs w:val="20"/>
              </w:rPr>
            </w:pPr>
            <w:proofErr w:type="spellStart"/>
            <w:r w:rsidRPr="005C4E59">
              <w:rPr>
                <w:rFonts w:asciiTheme="majorHAnsi" w:hAnsiTheme="majorHAnsi" w:cstheme="majorHAnsi"/>
                <w:sz w:val="20"/>
                <w:szCs w:val="20"/>
              </w:rPr>
              <w:t>Phyoto</w:t>
            </w:r>
            <w:proofErr w:type="spellEnd"/>
            <w:r w:rsidR="00682D70" w:rsidRPr="005C4E59">
              <w:rPr>
                <w:rFonts w:asciiTheme="majorHAnsi" w:hAnsiTheme="majorHAnsi" w:cstheme="majorHAnsi"/>
                <w:sz w:val="20"/>
                <w:szCs w:val="20"/>
              </w:rPr>
              <w:t>-pathology</w:t>
            </w:r>
          </w:p>
        </w:tc>
        <w:tc>
          <w:tcPr>
            <w:tcW w:w="1250" w:type="pct"/>
          </w:tcPr>
          <w:p w14:paraId="768E6E25" w14:textId="69395F5A" w:rsidR="00A12BDC" w:rsidRPr="005C4E59" w:rsidRDefault="00682D70" w:rsidP="0070227C">
            <w:pPr>
              <w:rPr>
                <w:rFonts w:asciiTheme="majorHAnsi" w:hAnsiTheme="majorHAnsi" w:cstheme="majorHAnsi"/>
                <w:sz w:val="20"/>
                <w:szCs w:val="20"/>
              </w:rPr>
            </w:pPr>
            <w:r w:rsidRPr="005C4E59">
              <w:rPr>
                <w:rFonts w:asciiTheme="majorHAnsi" w:hAnsiTheme="majorHAnsi" w:cstheme="majorHAnsi"/>
                <w:sz w:val="20"/>
                <w:szCs w:val="20"/>
              </w:rPr>
              <w:t>U</w:t>
            </w:r>
            <w:r w:rsidR="00B1191A" w:rsidRPr="005C4E59">
              <w:rPr>
                <w:rFonts w:asciiTheme="majorHAnsi" w:hAnsiTheme="majorHAnsi" w:cstheme="majorHAnsi"/>
                <w:sz w:val="20"/>
                <w:szCs w:val="20"/>
              </w:rPr>
              <w:t>p scaling</w:t>
            </w:r>
          </w:p>
        </w:tc>
        <w:tc>
          <w:tcPr>
            <w:tcW w:w="1250" w:type="pct"/>
          </w:tcPr>
          <w:p w14:paraId="512473DB" w14:textId="050CED2E" w:rsidR="00A12BDC" w:rsidRPr="00F619DC" w:rsidRDefault="0028215C" w:rsidP="0070227C">
            <w:pPr>
              <w:rPr>
                <w:rFonts w:asciiTheme="majorHAnsi" w:hAnsiTheme="majorHAnsi" w:cstheme="majorHAnsi"/>
                <w:sz w:val="20"/>
                <w:szCs w:val="20"/>
              </w:rPr>
            </w:pPr>
            <w:r w:rsidRPr="00F619DC">
              <w:rPr>
                <w:rFonts w:asciiTheme="majorHAnsi" w:hAnsiTheme="majorHAnsi" w:cstheme="majorHAnsi"/>
                <w:sz w:val="20"/>
                <w:szCs w:val="20"/>
              </w:rPr>
              <w:t>West Africa, India</w:t>
            </w:r>
          </w:p>
        </w:tc>
      </w:tr>
      <w:tr w:rsidR="00F76D0B" w:rsidRPr="00A12BDC" w14:paraId="0DF5E46A" w14:textId="77777777" w:rsidTr="0070227C">
        <w:trPr>
          <w:trHeight w:val="32"/>
        </w:trPr>
        <w:tc>
          <w:tcPr>
            <w:tcW w:w="1436" w:type="pct"/>
          </w:tcPr>
          <w:p w14:paraId="7E1C0F74" w14:textId="59CED974" w:rsidR="00F76D0B" w:rsidRPr="005C4E59" w:rsidRDefault="0028215C" w:rsidP="0070227C">
            <w:pPr>
              <w:rPr>
                <w:rFonts w:asciiTheme="majorHAnsi" w:eastAsia="Calibri" w:hAnsiTheme="majorHAnsi" w:cstheme="majorHAnsi"/>
                <w:sz w:val="20"/>
                <w:szCs w:val="20"/>
              </w:rPr>
            </w:pPr>
            <w:r w:rsidRPr="005C4E59">
              <w:rPr>
                <w:rFonts w:asciiTheme="majorHAnsi" w:eastAsia="Calibri" w:hAnsiTheme="majorHAnsi" w:cstheme="majorHAnsi"/>
                <w:sz w:val="20"/>
                <w:szCs w:val="20"/>
              </w:rPr>
              <w:t>PGP</w:t>
            </w:r>
          </w:p>
        </w:tc>
        <w:tc>
          <w:tcPr>
            <w:tcW w:w="1063" w:type="pct"/>
          </w:tcPr>
          <w:p w14:paraId="1589C529" w14:textId="19714298" w:rsidR="00F76D0B" w:rsidRPr="005C4E59" w:rsidRDefault="005C4E59" w:rsidP="0070227C">
            <w:pPr>
              <w:rPr>
                <w:rFonts w:asciiTheme="majorHAnsi" w:hAnsiTheme="majorHAnsi" w:cstheme="majorHAnsi"/>
                <w:sz w:val="20"/>
                <w:szCs w:val="20"/>
              </w:rPr>
            </w:pPr>
            <w:r w:rsidRPr="005C4E59">
              <w:rPr>
                <w:rFonts w:asciiTheme="majorHAnsi" w:hAnsiTheme="majorHAnsi" w:cstheme="majorHAnsi"/>
                <w:sz w:val="20"/>
                <w:szCs w:val="20"/>
              </w:rPr>
              <w:t>Microbiology</w:t>
            </w:r>
          </w:p>
        </w:tc>
        <w:tc>
          <w:tcPr>
            <w:tcW w:w="1250" w:type="pct"/>
          </w:tcPr>
          <w:p w14:paraId="615D7EA6" w14:textId="25CE304E" w:rsidR="00F76D0B" w:rsidRPr="005C4E59" w:rsidRDefault="004E1D54" w:rsidP="0070227C">
            <w:pPr>
              <w:rPr>
                <w:rFonts w:asciiTheme="majorHAnsi" w:hAnsiTheme="majorHAnsi" w:cstheme="majorHAnsi"/>
                <w:sz w:val="20"/>
                <w:szCs w:val="20"/>
              </w:rPr>
            </w:pPr>
            <w:r>
              <w:rPr>
                <w:rFonts w:asciiTheme="majorHAnsi" w:hAnsiTheme="majorHAnsi" w:cstheme="majorHAnsi"/>
                <w:sz w:val="20"/>
                <w:szCs w:val="20"/>
              </w:rPr>
              <w:t>On-farm testing</w:t>
            </w:r>
          </w:p>
        </w:tc>
        <w:tc>
          <w:tcPr>
            <w:tcW w:w="1250" w:type="pct"/>
          </w:tcPr>
          <w:p w14:paraId="5AD08E74" w14:textId="5B4C9BAD" w:rsidR="00F76D0B" w:rsidRPr="00F619DC" w:rsidRDefault="00292F53" w:rsidP="0070227C">
            <w:pPr>
              <w:rPr>
                <w:rFonts w:asciiTheme="majorHAnsi" w:hAnsiTheme="majorHAnsi" w:cstheme="majorHAnsi"/>
                <w:sz w:val="20"/>
                <w:szCs w:val="20"/>
              </w:rPr>
            </w:pPr>
            <w:r w:rsidRPr="00F619DC">
              <w:rPr>
                <w:rFonts w:asciiTheme="majorHAnsi" w:hAnsiTheme="majorHAnsi" w:cstheme="majorHAnsi"/>
                <w:sz w:val="20"/>
                <w:szCs w:val="20"/>
              </w:rPr>
              <w:t>National and regional</w:t>
            </w:r>
          </w:p>
        </w:tc>
      </w:tr>
      <w:tr w:rsidR="00292F53" w:rsidRPr="00A12BDC" w14:paraId="60D3A598" w14:textId="77777777" w:rsidTr="0070227C">
        <w:trPr>
          <w:trHeight w:val="32"/>
        </w:trPr>
        <w:tc>
          <w:tcPr>
            <w:tcW w:w="1436" w:type="pct"/>
          </w:tcPr>
          <w:p w14:paraId="768471AC" w14:textId="1FA9F2F5" w:rsidR="00292F53" w:rsidRPr="0061181B" w:rsidRDefault="00AD577F" w:rsidP="0070227C">
            <w:pPr>
              <w:rPr>
                <w:rFonts w:asciiTheme="majorHAnsi" w:eastAsia="Calibri" w:hAnsiTheme="majorHAnsi" w:cstheme="majorHAnsi"/>
                <w:sz w:val="20"/>
                <w:szCs w:val="20"/>
              </w:rPr>
            </w:pPr>
            <w:r w:rsidRPr="0061181B">
              <w:rPr>
                <w:rFonts w:asciiTheme="majorHAnsi" w:eastAsia="Calibri" w:hAnsiTheme="majorHAnsi" w:cstheme="majorHAnsi"/>
                <w:sz w:val="20"/>
                <w:szCs w:val="20"/>
              </w:rPr>
              <w:t>Legume screening for intercropping</w:t>
            </w:r>
          </w:p>
        </w:tc>
        <w:tc>
          <w:tcPr>
            <w:tcW w:w="1063" w:type="pct"/>
          </w:tcPr>
          <w:p w14:paraId="5209BD6F" w14:textId="77B48B93" w:rsidR="00292F53" w:rsidRPr="0061181B" w:rsidRDefault="00AD577F" w:rsidP="0070227C">
            <w:pPr>
              <w:rPr>
                <w:rFonts w:asciiTheme="majorHAnsi" w:hAnsiTheme="majorHAnsi" w:cstheme="majorHAnsi"/>
                <w:sz w:val="20"/>
                <w:szCs w:val="20"/>
              </w:rPr>
            </w:pPr>
            <w:r w:rsidRPr="0061181B">
              <w:rPr>
                <w:rFonts w:asciiTheme="majorHAnsi" w:hAnsiTheme="majorHAnsi" w:cstheme="majorHAnsi"/>
                <w:sz w:val="20"/>
                <w:szCs w:val="20"/>
              </w:rPr>
              <w:t>Agronomy</w:t>
            </w:r>
          </w:p>
        </w:tc>
        <w:tc>
          <w:tcPr>
            <w:tcW w:w="1250" w:type="pct"/>
          </w:tcPr>
          <w:p w14:paraId="5AB51F2B" w14:textId="1B23BC31" w:rsidR="00292F53" w:rsidRPr="0061181B" w:rsidRDefault="0061181B" w:rsidP="0070227C">
            <w:pPr>
              <w:rPr>
                <w:rFonts w:asciiTheme="majorHAnsi" w:hAnsiTheme="majorHAnsi" w:cstheme="majorHAnsi"/>
                <w:sz w:val="20"/>
                <w:szCs w:val="20"/>
              </w:rPr>
            </w:pPr>
            <w:r>
              <w:rPr>
                <w:rFonts w:asciiTheme="majorHAnsi" w:hAnsiTheme="majorHAnsi" w:cstheme="majorHAnsi"/>
                <w:sz w:val="20"/>
                <w:szCs w:val="20"/>
              </w:rPr>
              <w:t>On-farm testing</w:t>
            </w:r>
          </w:p>
        </w:tc>
        <w:tc>
          <w:tcPr>
            <w:tcW w:w="1250" w:type="pct"/>
          </w:tcPr>
          <w:p w14:paraId="71799846" w14:textId="2A5094EA" w:rsidR="00292F53" w:rsidRPr="00F619DC" w:rsidRDefault="007923B8" w:rsidP="0070227C">
            <w:pPr>
              <w:rPr>
                <w:rFonts w:asciiTheme="majorHAnsi" w:hAnsiTheme="majorHAnsi" w:cstheme="majorHAnsi"/>
                <w:sz w:val="20"/>
                <w:szCs w:val="20"/>
              </w:rPr>
            </w:pPr>
            <w:r w:rsidRPr="00F619DC">
              <w:rPr>
                <w:rFonts w:asciiTheme="majorHAnsi" w:hAnsiTheme="majorHAnsi" w:cstheme="majorHAnsi"/>
                <w:sz w:val="20"/>
                <w:szCs w:val="20"/>
              </w:rPr>
              <w:t>National</w:t>
            </w:r>
            <w:r w:rsidR="00F619DC" w:rsidRPr="00F619DC">
              <w:rPr>
                <w:rFonts w:asciiTheme="majorHAnsi" w:hAnsiTheme="majorHAnsi" w:cstheme="majorHAnsi"/>
                <w:sz w:val="20"/>
                <w:szCs w:val="20"/>
              </w:rPr>
              <w:t xml:space="preserve"> and regional</w:t>
            </w:r>
          </w:p>
        </w:tc>
      </w:tr>
      <w:tr w:rsidR="00F344CA" w:rsidRPr="00A12BDC" w14:paraId="78F54B56" w14:textId="77777777" w:rsidTr="0070227C">
        <w:trPr>
          <w:trHeight w:val="32"/>
        </w:trPr>
        <w:tc>
          <w:tcPr>
            <w:tcW w:w="1436" w:type="pct"/>
          </w:tcPr>
          <w:p w14:paraId="31F917E0" w14:textId="37379E2C" w:rsidR="00F344CA" w:rsidRPr="0061181B" w:rsidRDefault="00AD577F" w:rsidP="0070227C">
            <w:pPr>
              <w:rPr>
                <w:rFonts w:asciiTheme="majorHAnsi" w:eastAsia="Calibri" w:hAnsiTheme="majorHAnsi" w:cstheme="majorHAnsi"/>
                <w:sz w:val="20"/>
                <w:szCs w:val="20"/>
              </w:rPr>
            </w:pPr>
            <w:r w:rsidRPr="0061181B">
              <w:rPr>
                <w:rFonts w:asciiTheme="majorHAnsi" w:eastAsia="Calibri" w:hAnsiTheme="majorHAnsi" w:cstheme="majorHAnsi"/>
                <w:sz w:val="20"/>
                <w:szCs w:val="20"/>
              </w:rPr>
              <w:t>Intercrops</w:t>
            </w:r>
          </w:p>
        </w:tc>
        <w:tc>
          <w:tcPr>
            <w:tcW w:w="1063" w:type="pct"/>
          </w:tcPr>
          <w:p w14:paraId="3C15B7AE" w14:textId="36BF8859" w:rsidR="00F344CA" w:rsidRPr="0061181B" w:rsidRDefault="00AD577F" w:rsidP="0070227C">
            <w:pPr>
              <w:rPr>
                <w:rFonts w:asciiTheme="majorHAnsi" w:hAnsiTheme="majorHAnsi" w:cstheme="majorHAnsi"/>
                <w:sz w:val="20"/>
                <w:szCs w:val="20"/>
              </w:rPr>
            </w:pPr>
            <w:r w:rsidRPr="0061181B">
              <w:rPr>
                <w:rFonts w:asciiTheme="majorHAnsi" w:hAnsiTheme="majorHAnsi" w:cstheme="majorHAnsi"/>
                <w:sz w:val="20"/>
                <w:szCs w:val="20"/>
              </w:rPr>
              <w:t>Agronomy</w:t>
            </w:r>
          </w:p>
        </w:tc>
        <w:tc>
          <w:tcPr>
            <w:tcW w:w="1250" w:type="pct"/>
          </w:tcPr>
          <w:p w14:paraId="283456BE" w14:textId="66E879FC" w:rsidR="00F344CA" w:rsidRPr="0061181B" w:rsidRDefault="00F619DC" w:rsidP="0070227C">
            <w:pPr>
              <w:rPr>
                <w:rFonts w:asciiTheme="majorHAnsi" w:hAnsiTheme="majorHAnsi" w:cstheme="majorHAnsi"/>
                <w:sz w:val="20"/>
                <w:szCs w:val="20"/>
              </w:rPr>
            </w:pPr>
            <w:r>
              <w:rPr>
                <w:rFonts w:asciiTheme="majorHAnsi" w:hAnsiTheme="majorHAnsi" w:cstheme="majorHAnsi"/>
                <w:sz w:val="20"/>
                <w:szCs w:val="20"/>
              </w:rPr>
              <w:t>On-farm testing</w:t>
            </w:r>
          </w:p>
        </w:tc>
        <w:tc>
          <w:tcPr>
            <w:tcW w:w="1250" w:type="pct"/>
          </w:tcPr>
          <w:p w14:paraId="7AF08A44" w14:textId="7A25A25B" w:rsidR="00F344CA" w:rsidRPr="00F619DC" w:rsidRDefault="00F619DC" w:rsidP="0070227C">
            <w:pPr>
              <w:rPr>
                <w:rFonts w:asciiTheme="majorHAnsi" w:hAnsiTheme="majorHAnsi" w:cstheme="majorHAnsi"/>
                <w:sz w:val="20"/>
                <w:szCs w:val="20"/>
              </w:rPr>
            </w:pPr>
            <w:r w:rsidRPr="00F619DC">
              <w:rPr>
                <w:rFonts w:asciiTheme="majorHAnsi" w:hAnsiTheme="majorHAnsi" w:cstheme="majorHAnsi"/>
                <w:sz w:val="20"/>
                <w:szCs w:val="20"/>
              </w:rPr>
              <w:t>National and regional</w:t>
            </w:r>
          </w:p>
        </w:tc>
      </w:tr>
      <w:tr w:rsidR="0050524F" w:rsidRPr="009F63C7" w14:paraId="4C3A418D" w14:textId="77777777" w:rsidTr="0070227C">
        <w:trPr>
          <w:trHeight w:val="32"/>
        </w:trPr>
        <w:tc>
          <w:tcPr>
            <w:tcW w:w="1436" w:type="pct"/>
          </w:tcPr>
          <w:p w14:paraId="4008F188" w14:textId="055F5BDF" w:rsidR="00C44595" w:rsidRPr="00E2135F" w:rsidRDefault="00C44595" w:rsidP="0070227C">
            <w:pPr>
              <w:rPr>
                <w:rFonts w:asciiTheme="majorHAnsi" w:hAnsiTheme="majorHAnsi" w:cstheme="majorHAnsi"/>
                <w:sz w:val="20"/>
                <w:szCs w:val="20"/>
              </w:rPr>
            </w:pPr>
            <w:r w:rsidRPr="00E2135F">
              <w:rPr>
                <w:rFonts w:asciiTheme="majorHAnsi" w:eastAsia="Calibri" w:hAnsiTheme="majorHAnsi" w:cstheme="majorHAnsi"/>
                <w:sz w:val="20"/>
                <w:szCs w:val="20"/>
              </w:rPr>
              <w:t>Farming system sustainability assessment</w:t>
            </w:r>
          </w:p>
          <w:p w14:paraId="6BD646C0" w14:textId="5FBCBE7E" w:rsidR="0050524F" w:rsidRPr="00E2135F" w:rsidRDefault="00703DB8" w:rsidP="0070227C">
            <w:pPr>
              <w:rPr>
                <w:rStyle w:val="Hyperlink"/>
                <w:rFonts w:asciiTheme="majorHAnsi" w:hAnsiTheme="majorHAnsi" w:cstheme="majorHAnsi"/>
                <w:sz w:val="20"/>
                <w:szCs w:val="20"/>
              </w:rPr>
            </w:pPr>
            <w:hyperlink r:id="rId36" w:history="1">
              <w:r w:rsidR="00C44595" w:rsidRPr="00E2135F">
                <w:rPr>
                  <w:rStyle w:val="Hyperlink"/>
                  <w:rFonts w:asciiTheme="majorHAnsi" w:hAnsiTheme="majorHAnsi" w:cstheme="majorHAnsi"/>
                  <w:sz w:val="20"/>
                  <w:szCs w:val="20"/>
                </w:rPr>
                <w:t>http://oar.icrisat.org/11246/</w:t>
              </w:r>
            </w:hyperlink>
          </w:p>
          <w:p w14:paraId="15E6F0C1" w14:textId="0C5D2161" w:rsidR="00C44595" w:rsidRPr="00E2135F" w:rsidRDefault="00C44595" w:rsidP="0070227C">
            <w:pPr>
              <w:rPr>
                <w:rFonts w:asciiTheme="majorHAnsi" w:hAnsiTheme="majorHAnsi" w:cstheme="majorHAnsi"/>
                <w:sz w:val="20"/>
                <w:szCs w:val="20"/>
              </w:rPr>
            </w:pPr>
          </w:p>
        </w:tc>
        <w:tc>
          <w:tcPr>
            <w:tcW w:w="1063" w:type="pct"/>
          </w:tcPr>
          <w:p w14:paraId="57AECF97" w14:textId="5D44A1C1" w:rsidR="0050524F" w:rsidRPr="00E2135F" w:rsidRDefault="00C44595" w:rsidP="0070227C">
            <w:pPr>
              <w:rPr>
                <w:rFonts w:asciiTheme="majorHAnsi" w:hAnsiTheme="majorHAnsi" w:cstheme="majorHAnsi"/>
                <w:sz w:val="20"/>
                <w:szCs w:val="20"/>
              </w:rPr>
            </w:pPr>
            <w:r w:rsidRPr="00E2135F">
              <w:rPr>
                <w:rFonts w:asciiTheme="majorHAnsi" w:hAnsiTheme="majorHAnsi" w:cstheme="majorHAnsi"/>
                <w:sz w:val="20"/>
                <w:szCs w:val="20"/>
              </w:rPr>
              <w:t>Framework</w:t>
            </w:r>
          </w:p>
        </w:tc>
        <w:tc>
          <w:tcPr>
            <w:tcW w:w="1250" w:type="pct"/>
          </w:tcPr>
          <w:p w14:paraId="685EA586" w14:textId="7DB62500" w:rsidR="0050524F" w:rsidRPr="00E2135F" w:rsidRDefault="00C44595" w:rsidP="0070227C">
            <w:pPr>
              <w:rPr>
                <w:rFonts w:asciiTheme="majorHAnsi" w:hAnsiTheme="majorHAnsi" w:cstheme="majorHAnsi"/>
                <w:sz w:val="20"/>
                <w:szCs w:val="20"/>
              </w:rPr>
            </w:pPr>
            <w:r w:rsidRPr="00E2135F">
              <w:rPr>
                <w:rFonts w:asciiTheme="majorHAnsi" w:hAnsiTheme="majorHAnsi" w:cstheme="majorHAnsi"/>
                <w:sz w:val="20"/>
                <w:szCs w:val="20"/>
              </w:rPr>
              <w:t>Complete</w:t>
            </w:r>
          </w:p>
        </w:tc>
        <w:tc>
          <w:tcPr>
            <w:tcW w:w="1250" w:type="pct"/>
          </w:tcPr>
          <w:p w14:paraId="12010570" w14:textId="13F8EEE3" w:rsidR="0050524F" w:rsidRPr="009F63C7" w:rsidRDefault="004A6CA0" w:rsidP="0070227C">
            <w:pPr>
              <w:rPr>
                <w:rFonts w:asciiTheme="majorHAnsi" w:hAnsiTheme="majorHAnsi" w:cstheme="majorHAnsi"/>
                <w:sz w:val="20"/>
                <w:szCs w:val="20"/>
              </w:rPr>
            </w:pPr>
            <w:r>
              <w:rPr>
                <w:rFonts w:asciiTheme="majorHAnsi" w:hAnsiTheme="majorHAnsi" w:cstheme="majorHAnsi"/>
                <w:sz w:val="20"/>
                <w:szCs w:val="20"/>
              </w:rPr>
              <w:t>Global</w:t>
            </w:r>
          </w:p>
        </w:tc>
      </w:tr>
      <w:tr w:rsidR="00ED1F19" w:rsidRPr="009F63C7" w14:paraId="125D92BD" w14:textId="77777777" w:rsidTr="0070227C">
        <w:trPr>
          <w:trHeight w:val="32"/>
        </w:trPr>
        <w:tc>
          <w:tcPr>
            <w:tcW w:w="1436" w:type="pct"/>
          </w:tcPr>
          <w:p w14:paraId="75480804" w14:textId="49267326" w:rsidR="004A6CA0" w:rsidRPr="00E2135F" w:rsidRDefault="004A6CA0" w:rsidP="0070227C">
            <w:pPr>
              <w:rPr>
                <w:rFonts w:asciiTheme="majorHAnsi" w:hAnsiTheme="majorHAnsi" w:cstheme="majorHAnsi"/>
                <w:sz w:val="20"/>
                <w:szCs w:val="20"/>
              </w:rPr>
            </w:pPr>
            <w:r w:rsidRPr="00E2135F">
              <w:rPr>
                <w:rFonts w:asciiTheme="majorHAnsi" w:eastAsia="Calibri" w:hAnsiTheme="majorHAnsi" w:cstheme="majorHAnsi"/>
                <w:sz w:val="20"/>
                <w:szCs w:val="20"/>
              </w:rPr>
              <w:t>A multi-dimensional scenario analysis</w:t>
            </w:r>
          </w:p>
          <w:p w14:paraId="726C8660" w14:textId="09056C15" w:rsidR="00ED1F19" w:rsidRPr="00E2135F" w:rsidRDefault="00703DB8" w:rsidP="0070227C">
            <w:pPr>
              <w:rPr>
                <w:rFonts w:asciiTheme="majorHAnsi" w:hAnsiTheme="majorHAnsi" w:cstheme="majorHAnsi"/>
                <w:sz w:val="20"/>
                <w:szCs w:val="20"/>
              </w:rPr>
            </w:pPr>
            <w:hyperlink r:id="rId37" w:history="1">
              <w:r w:rsidR="004A6CA0" w:rsidRPr="00E2135F">
                <w:rPr>
                  <w:rStyle w:val="Hyperlink"/>
                  <w:rFonts w:asciiTheme="majorHAnsi" w:hAnsiTheme="majorHAnsi" w:cstheme="majorHAnsi"/>
                  <w:sz w:val="20"/>
                  <w:szCs w:val="20"/>
                </w:rPr>
                <w:t>https://bscmsc.pps.wur.nl/assessment-potential-future-sustain-ability-smallholder-farming-old-cotton-basin-mali</w:t>
              </w:r>
            </w:hyperlink>
          </w:p>
        </w:tc>
        <w:tc>
          <w:tcPr>
            <w:tcW w:w="1063" w:type="pct"/>
          </w:tcPr>
          <w:p w14:paraId="486C023E" w14:textId="71E9F5DE" w:rsidR="00ED1F19" w:rsidRPr="00E2135F" w:rsidRDefault="00780DF3" w:rsidP="0070227C">
            <w:pPr>
              <w:rPr>
                <w:rFonts w:asciiTheme="majorHAnsi" w:hAnsiTheme="majorHAnsi" w:cstheme="majorHAnsi"/>
                <w:sz w:val="20"/>
                <w:szCs w:val="20"/>
              </w:rPr>
            </w:pPr>
            <w:r w:rsidRPr="00E2135F">
              <w:rPr>
                <w:rFonts w:asciiTheme="majorHAnsi" w:hAnsiTheme="majorHAnsi" w:cstheme="majorHAnsi"/>
                <w:sz w:val="20"/>
                <w:szCs w:val="20"/>
              </w:rPr>
              <w:t>Analysis tool</w:t>
            </w:r>
          </w:p>
        </w:tc>
        <w:tc>
          <w:tcPr>
            <w:tcW w:w="1250" w:type="pct"/>
          </w:tcPr>
          <w:p w14:paraId="729ED79E" w14:textId="39AC3AC0" w:rsidR="00ED1F19" w:rsidRPr="00E2135F" w:rsidRDefault="00780DF3" w:rsidP="0070227C">
            <w:pPr>
              <w:rPr>
                <w:rFonts w:asciiTheme="majorHAnsi" w:hAnsiTheme="majorHAnsi" w:cstheme="majorHAnsi"/>
                <w:sz w:val="20"/>
                <w:szCs w:val="20"/>
              </w:rPr>
            </w:pPr>
            <w:r w:rsidRPr="00E2135F">
              <w:rPr>
                <w:rFonts w:asciiTheme="majorHAnsi" w:hAnsiTheme="majorHAnsi" w:cstheme="majorHAnsi"/>
                <w:sz w:val="20"/>
                <w:szCs w:val="20"/>
              </w:rPr>
              <w:t>Complete</w:t>
            </w:r>
          </w:p>
        </w:tc>
        <w:tc>
          <w:tcPr>
            <w:tcW w:w="1250" w:type="pct"/>
          </w:tcPr>
          <w:p w14:paraId="52C2B318" w14:textId="5FE76A5D" w:rsidR="00ED1F19" w:rsidRPr="009F63C7" w:rsidRDefault="00577F6A" w:rsidP="0070227C">
            <w:pPr>
              <w:rPr>
                <w:rFonts w:asciiTheme="majorHAnsi" w:hAnsiTheme="majorHAnsi" w:cstheme="majorHAnsi"/>
                <w:sz w:val="20"/>
                <w:szCs w:val="20"/>
              </w:rPr>
            </w:pPr>
            <w:r>
              <w:rPr>
                <w:rFonts w:asciiTheme="majorHAnsi" w:hAnsiTheme="majorHAnsi" w:cstheme="majorHAnsi"/>
                <w:sz w:val="20"/>
                <w:szCs w:val="20"/>
              </w:rPr>
              <w:t>Global</w:t>
            </w:r>
          </w:p>
        </w:tc>
      </w:tr>
      <w:tr w:rsidR="00ED1F19" w:rsidRPr="009F63C7" w14:paraId="54FEA263" w14:textId="77777777" w:rsidTr="0070227C">
        <w:trPr>
          <w:trHeight w:val="32"/>
        </w:trPr>
        <w:tc>
          <w:tcPr>
            <w:tcW w:w="1436" w:type="pct"/>
          </w:tcPr>
          <w:p w14:paraId="0329805D" w14:textId="4C364FFC" w:rsidR="00E2135F" w:rsidRPr="00E2135F" w:rsidRDefault="00E2135F" w:rsidP="0070227C">
            <w:pPr>
              <w:rPr>
                <w:rFonts w:asciiTheme="majorHAnsi" w:hAnsiTheme="majorHAnsi" w:cstheme="majorHAnsi"/>
                <w:sz w:val="20"/>
                <w:szCs w:val="20"/>
              </w:rPr>
            </w:pPr>
            <w:r w:rsidRPr="00E2135F">
              <w:rPr>
                <w:rFonts w:asciiTheme="majorHAnsi" w:hAnsiTheme="majorHAnsi" w:cstheme="majorHAnsi"/>
                <w:sz w:val="20"/>
                <w:szCs w:val="20"/>
              </w:rPr>
              <w:t>Cropping system modelling tools</w:t>
            </w:r>
          </w:p>
          <w:p w14:paraId="77945307" w14:textId="77EEE5F7" w:rsidR="00ED1F19" w:rsidRPr="00E2135F" w:rsidRDefault="00703DB8" w:rsidP="0070227C">
            <w:pPr>
              <w:rPr>
                <w:rFonts w:asciiTheme="majorHAnsi" w:hAnsiTheme="majorHAnsi" w:cstheme="majorHAnsi"/>
                <w:sz w:val="20"/>
                <w:szCs w:val="20"/>
              </w:rPr>
            </w:pPr>
            <w:hyperlink r:id="rId38" w:history="1">
              <w:r w:rsidR="00E2135F" w:rsidRPr="00E2135F">
                <w:rPr>
                  <w:rStyle w:val="Hyperlink"/>
                  <w:rFonts w:asciiTheme="majorHAnsi" w:hAnsiTheme="majorHAnsi" w:cstheme="majorHAnsi"/>
                  <w:sz w:val="20"/>
                  <w:szCs w:val="20"/>
                </w:rPr>
                <w:t>http://dx.doi.org/10.1071/FP13355</w:t>
              </w:r>
            </w:hyperlink>
            <w:r w:rsidR="00116174" w:rsidRPr="00E2135F">
              <w:rPr>
                <w:rFonts w:asciiTheme="majorHAnsi" w:hAnsiTheme="majorHAnsi" w:cstheme="majorHAnsi"/>
                <w:sz w:val="20"/>
                <w:szCs w:val="20"/>
              </w:rPr>
              <w:t xml:space="preserve">; </w:t>
            </w:r>
            <w:hyperlink r:id="rId39" w:history="1">
              <w:r w:rsidR="00116174" w:rsidRPr="00E2135F">
                <w:rPr>
                  <w:rStyle w:val="Hyperlink"/>
                  <w:rFonts w:asciiTheme="majorHAnsi" w:hAnsiTheme="majorHAnsi" w:cstheme="majorHAnsi"/>
                  <w:sz w:val="20"/>
                  <w:szCs w:val="20"/>
                </w:rPr>
                <w:t>https://maps.csita.cz/</w:t>
              </w:r>
            </w:hyperlink>
          </w:p>
        </w:tc>
        <w:tc>
          <w:tcPr>
            <w:tcW w:w="1063" w:type="pct"/>
          </w:tcPr>
          <w:p w14:paraId="10422AFB" w14:textId="392FFCEF" w:rsidR="00ED1F19" w:rsidRPr="00E2135F" w:rsidRDefault="00E2135F" w:rsidP="0070227C">
            <w:pPr>
              <w:rPr>
                <w:rFonts w:asciiTheme="majorHAnsi" w:hAnsiTheme="majorHAnsi" w:cstheme="majorHAnsi"/>
                <w:sz w:val="20"/>
                <w:szCs w:val="20"/>
              </w:rPr>
            </w:pPr>
            <w:r w:rsidRPr="00E2135F">
              <w:rPr>
                <w:rFonts w:asciiTheme="majorHAnsi" w:hAnsiTheme="majorHAnsi" w:cstheme="majorHAnsi"/>
                <w:sz w:val="20"/>
                <w:szCs w:val="20"/>
              </w:rPr>
              <w:t>Analysis tool</w:t>
            </w:r>
          </w:p>
        </w:tc>
        <w:tc>
          <w:tcPr>
            <w:tcW w:w="1250" w:type="pct"/>
          </w:tcPr>
          <w:p w14:paraId="5577A757" w14:textId="147D5223" w:rsidR="00ED1F19" w:rsidRPr="00E2135F" w:rsidRDefault="00E2135F" w:rsidP="0070227C">
            <w:pPr>
              <w:rPr>
                <w:rFonts w:asciiTheme="majorHAnsi" w:hAnsiTheme="majorHAnsi" w:cstheme="majorHAnsi"/>
                <w:sz w:val="20"/>
                <w:szCs w:val="20"/>
              </w:rPr>
            </w:pPr>
            <w:r>
              <w:rPr>
                <w:rFonts w:asciiTheme="majorHAnsi" w:hAnsiTheme="majorHAnsi" w:cstheme="majorHAnsi"/>
                <w:sz w:val="20"/>
                <w:szCs w:val="20"/>
              </w:rPr>
              <w:t>Complete</w:t>
            </w:r>
          </w:p>
        </w:tc>
        <w:tc>
          <w:tcPr>
            <w:tcW w:w="1250" w:type="pct"/>
          </w:tcPr>
          <w:p w14:paraId="6A5B8B5F" w14:textId="194F1F36" w:rsidR="00ED1F19" w:rsidRPr="009F63C7" w:rsidRDefault="00F344CA" w:rsidP="0070227C">
            <w:pPr>
              <w:rPr>
                <w:rFonts w:asciiTheme="majorHAnsi" w:hAnsiTheme="majorHAnsi" w:cstheme="majorHAnsi"/>
                <w:sz w:val="20"/>
                <w:szCs w:val="20"/>
              </w:rPr>
            </w:pPr>
            <w:r>
              <w:rPr>
                <w:rFonts w:asciiTheme="majorHAnsi" w:hAnsiTheme="majorHAnsi" w:cstheme="majorHAnsi"/>
                <w:sz w:val="20"/>
                <w:szCs w:val="20"/>
              </w:rPr>
              <w:t>Global</w:t>
            </w:r>
          </w:p>
        </w:tc>
      </w:tr>
      <w:tr w:rsidR="00ED1F19" w:rsidRPr="009F63C7" w14:paraId="357E83DD" w14:textId="77777777" w:rsidTr="0070227C">
        <w:trPr>
          <w:trHeight w:val="32"/>
        </w:trPr>
        <w:tc>
          <w:tcPr>
            <w:tcW w:w="1436" w:type="pct"/>
          </w:tcPr>
          <w:p w14:paraId="1567CB20" w14:textId="77777777" w:rsidR="00ED1F19" w:rsidRPr="009F63C7" w:rsidRDefault="00ED1F19" w:rsidP="0070227C">
            <w:pPr>
              <w:rPr>
                <w:rFonts w:asciiTheme="majorHAnsi" w:hAnsiTheme="majorHAnsi" w:cstheme="majorHAnsi"/>
                <w:sz w:val="20"/>
                <w:szCs w:val="20"/>
              </w:rPr>
            </w:pPr>
          </w:p>
        </w:tc>
        <w:tc>
          <w:tcPr>
            <w:tcW w:w="1063" w:type="pct"/>
          </w:tcPr>
          <w:p w14:paraId="49E838C8" w14:textId="77777777" w:rsidR="00ED1F19" w:rsidRPr="009F63C7" w:rsidRDefault="00ED1F19" w:rsidP="0070227C">
            <w:pPr>
              <w:rPr>
                <w:rFonts w:asciiTheme="majorHAnsi" w:hAnsiTheme="majorHAnsi" w:cstheme="majorHAnsi"/>
                <w:sz w:val="20"/>
                <w:szCs w:val="20"/>
              </w:rPr>
            </w:pPr>
          </w:p>
        </w:tc>
        <w:tc>
          <w:tcPr>
            <w:tcW w:w="1250" w:type="pct"/>
          </w:tcPr>
          <w:p w14:paraId="6CD7264C" w14:textId="77777777" w:rsidR="00ED1F19" w:rsidRPr="009F63C7" w:rsidRDefault="00ED1F19" w:rsidP="0070227C">
            <w:pPr>
              <w:rPr>
                <w:rFonts w:asciiTheme="majorHAnsi" w:hAnsiTheme="majorHAnsi" w:cstheme="majorHAnsi"/>
                <w:sz w:val="20"/>
                <w:szCs w:val="20"/>
              </w:rPr>
            </w:pPr>
          </w:p>
        </w:tc>
        <w:tc>
          <w:tcPr>
            <w:tcW w:w="1250" w:type="pct"/>
          </w:tcPr>
          <w:p w14:paraId="14E5230E" w14:textId="77777777" w:rsidR="00ED1F19" w:rsidRPr="009F63C7" w:rsidRDefault="00ED1F19" w:rsidP="0070227C">
            <w:pPr>
              <w:rPr>
                <w:rFonts w:asciiTheme="majorHAnsi" w:hAnsiTheme="majorHAnsi" w:cstheme="majorHAnsi"/>
                <w:sz w:val="20"/>
                <w:szCs w:val="20"/>
              </w:rPr>
            </w:pPr>
          </w:p>
        </w:tc>
      </w:tr>
    </w:tbl>
    <w:p w14:paraId="5B051366" w14:textId="77777777" w:rsidR="006E40C8" w:rsidRDefault="006E40C8" w:rsidP="006E40C8">
      <w:pPr>
        <w:jc w:val="both"/>
      </w:pPr>
    </w:p>
    <w:p w14:paraId="6CC60B51" w14:textId="77777777" w:rsidR="006E40C8" w:rsidRDefault="006E40C8" w:rsidP="006E40C8">
      <w:pPr>
        <w:jc w:val="both"/>
      </w:pPr>
      <w:r>
        <w:t>Table 5: List of Outcome Cases submitted by CoA Leaders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94"/>
        <w:gridCol w:w="4567"/>
        <w:gridCol w:w="1158"/>
        <w:gridCol w:w="2731"/>
      </w:tblGrid>
      <w:tr w:rsidR="00A3515A" w:rsidRPr="009F63C7" w14:paraId="274752C7" w14:textId="77777777" w:rsidTr="00781D80">
        <w:trPr>
          <w:trHeight w:val="377"/>
        </w:trPr>
        <w:tc>
          <w:tcPr>
            <w:tcW w:w="1969" w:type="pct"/>
          </w:tcPr>
          <w:p w14:paraId="6D5667C2" w14:textId="77777777" w:rsidR="00A3515A" w:rsidRPr="009F63C7" w:rsidRDefault="00A3515A" w:rsidP="0070227C">
            <w:pPr>
              <w:spacing w:before="100"/>
              <w:rPr>
                <w:rFonts w:asciiTheme="majorHAnsi" w:hAnsiTheme="majorHAnsi" w:cstheme="majorHAnsi"/>
                <w:b/>
                <w:sz w:val="20"/>
                <w:szCs w:val="20"/>
              </w:rPr>
            </w:pPr>
            <w:bookmarkStart w:id="39" w:name="_fa3uobz81brd" w:colFirst="0" w:colLast="0"/>
            <w:bookmarkStart w:id="40" w:name="_opeb30bjaxql" w:colFirst="0" w:colLast="0"/>
            <w:bookmarkStart w:id="41" w:name="_t0rsms71kfhu" w:colFirst="0" w:colLast="0"/>
            <w:bookmarkStart w:id="42" w:name="_xvir7l" w:colFirst="0" w:colLast="0"/>
            <w:bookmarkStart w:id="43" w:name="_m8wfduvy79f1" w:colFirst="0" w:colLast="0"/>
            <w:bookmarkStart w:id="44" w:name="_4h042r0" w:colFirst="0" w:colLast="0"/>
            <w:bookmarkStart w:id="45" w:name="_buktksmnolrh" w:colFirst="0" w:colLast="0"/>
            <w:bookmarkEnd w:id="35"/>
            <w:bookmarkEnd w:id="36"/>
            <w:bookmarkEnd w:id="37"/>
            <w:bookmarkEnd w:id="38"/>
            <w:bookmarkEnd w:id="39"/>
            <w:bookmarkEnd w:id="40"/>
            <w:bookmarkEnd w:id="41"/>
            <w:bookmarkEnd w:id="42"/>
            <w:bookmarkEnd w:id="43"/>
            <w:bookmarkEnd w:id="44"/>
            <w:bookmarkEnd w:id="45"/>
            <w:r w:rsidRPr="009F63C7">
              <w:rPr>
                <w:rFonts w:asciiTheme="majorHAnsi" w:hAnsiTheme="majorHAnsi" w:cstheme="majorHAnsi"/>
                <w:b/>
                <w:sz w:val="20"/>
                <w:szCs w:val="20"/>
              </w:rPr>
              <w:t>Column 1</w:t>
            </w:r>
          </w:p>
        </w:tc>
        <w:tc>
          <w:tcPr>
            <w:tcW w:w="1637" w:type="pct"/>
          </w:tcPr>
          <w:p w14:paraId="26D77524" w14:textId="77777777" w:rsidR="00A3515A" w:rsidRPr="009F63C7" w:rsidRDefault="00A3515A" w:rsidP="0070227C">
            <w:pPr>
              <w:spacing w:before="100"/>
              <w:rPr>
                <w:rFonts w:asciiTheme="majorHAnsi" w:hAnsiTheme="majorHAnsi" w:cstheme="majorHAnsi"/>
                <w:b/>
                <w:sz w:val="20"/>
                <w:szCs w:val="20"/>
              </w:rPr>
            </w:pPr>
            <w:r>
              <w:rPr>
                <w:rFonts w:asciiTheme="majorHAnsi" w:hAnsiTheme="majorHAnsi" w:cstheme="majorHAnsi"/>
                <w:b/>
                <w:sz w:val="20"/>
                <w:szCs w:val="20"/>
              </w:rPr>
              <w:t>Col 2 a</w:t>
            </w:r>
          </w:p>
        </w:tc>
        <w:tc>
          <w:tcPr>
            <w:tcW w:w="415" w:type="pct"/>
          </w:tcPr>
          <w:p w14:paraId="32B59CB4" w14:textId="77777777" w:rsidR="00A3515A" w:rsidRPr="009F63C7" w:rsidRDefault="00A3515A" w:rsidP="0070227C">
            <w:pPr>
              <w:spacing w:before="100"/>
              <w:rPr>
                <w:rFonts w:asciiTheme="majorHAnsi" w:hAnsiTheme="majorHAnsi" w:cstheme="majorHAnsi"/>
                <w:b/>
                <w:sz w:val="20"/>
                <w:szCs w:val="20"/>
              </w:rPr>
            </w:pPr>
            <w:r w:rsidRPr="009F63C7">
              <w:rPr>
                <w:rFonts w:asciiTheme="majorHAnsi" w:hAnsiTheme="majorHAnsi" w:cstheme="majorHAnsi"/>
                <w:b/>
                <w:sz w:val="20"/>
                <w:szCs w:val="20"/>
              </w:rPr>
              <w:t>Column 2</w:t>
            </w:r>
          </w:p>
        </w:tc>
        <w:tc>
          <w:tcPr>
            <w:tcW w:w="980" w:type="pct"/>
          </w:tcPr>
          <w:p w14:paraId="7C4968D3" w14:textId="77777777" w:rsidR="00A3515A" w:rsidRPr="009F63C7" w:rsidRDefault="00A3515A" w:rsidP="0070227C">
            <w:pPr>
              <w:tabs>
                <w:tab w:val="left" w:pos="1327"/>
              </w:tabs>
              <w:spacing w:before="100"/>
              <w:rPr>
                <w:rFonts w:asciiTheme="majorHAnsi" w:hAnsiTheme="majorHAnsi" w:cstheme="majorHAnsi"/>
                <w:b/>
                <w:sz w:val="20"/>
                <w:szCs w:val="20"/>
              </w:rPr>
            </w:pPr>
            <w:r w:rsidRPr="009F63C7">
              <w:rPr>
                <w:rFonts w:asciiTheme="majorHAnsi" w:hAnsiTheme="majorHAnsi" w:cstheme="majorHAnsi"/>
                <w:b/>
                <w:sz w:val="20"/>
                <w:szCs w:val="20"/>
              </w:rPr>
              <w:t>Column 3</w:t>
            </w:r>
          </w:p>
        </w:tc>
      </w:tr>
      <w:tr w:rsidR="00A3515A" w:rsidRPr="009F63C7" w14:paraId="60892F36" w14:textId="77777777" w:rsidTr="00781D80">
        <w:tc>
          <w:tcPr>
            <w:tcW w:w="1969" w:type="pct"/>
            <w:shd w:val="clear" w:color="auto" w:fill="FFF2CC"/>
          </w:tcPr>
          <w:p w14:paraId="763F53F6" w14:textId="77777777" w:rsidR="00A3515A" w:rsidRPr="009F63C7" w:rsidRDefault="00A3515A" w:rsidP="0070227C">
            <w:pPr>
              <w:spacing w:before="100"/>
              <w:rPr>
                <w:rFonts w:asciiTheme="majorHAnsi" w:hAnsiTheme="majorHAnsi" w:cstheme="majorHAnsi"/>
                <w:b/>
                <w:sz w:val="20"/>
                <w:szCs w:val="20"/>
              </w:rPr>
            </w:pPr>
            <w:r w:rsidRPr="009F63C7">
              <w:rPr>
                <w:rFonts w:asciiTheme="majorHAnsi" w:hAnsiTheme="majorHAnsi" w:cstheme="majorHAnsi"/>
                <w:b/>
                <w:sz w:val="20"/>
                <w:szCs w:val="20"/>
              </w:rPr>
              <w:t xml:space="preserve">Title of Outcome/ Impact Case Report (OICR) </w:t>
            </w:r>
          </w:p>
          <w:p w14:paraId="768502FE" w14:textId="77777777" w:rsidR="00A3515A" w:rsidRPr="009F63C7" w:rsidRDefault="00A3515A" w:rsidP="0070227C">
            <w:pPr>
              <w:spacing w:before="100"/>
              <w:rPr>
                <w:rFonts w:asciiTheme="majorHAnsi" w:hAnsiTheme="majorHAnsi" w:cstheme="majorHAnsi"/>
                <w:sz w:val="20"/>
                <w:szCs w:val="20"/>
              </w:rPr>
            </w:pPr>
          </w:p>
        </w:tc>
        <w:tc>
          <w:tcPr>
            <w:tcW w:w="1637" w:type="pct"/>
            <w:shd w:val="clear" w:color="auto" w:fill="FFF2CC"/>
          </w:tcPr>
          <w:p w14:paraId="67D0C993" w14:textId="77777777" w:rsidR="00A3515A" w:rsidRPr="009F63C7" w:rsidRDefault="00A3515A" w:rsidP="0070227C">
            <w:pPr>
              <w:spacing w:before="100"/>
              <w:rPr>
                <w:rFonts w:asciiTheme="majorHAnsi" w:hAnsiTheme="majorHAnsi" w:cstheme="majorHAnsi"/>
                <w:b/>
                <w:sz w:val="20"/>
                <w:szCs w:val="20"/>
              </w:rPr>
            </w:pPr>
            <w:r>
              <w:rPr>
                <w:rFonts w:asciiTheme="majorHAnsi" w:hAnsiTheme="majorHAnsi" w:cstheme="majorHAnsi"/>
                <w:b/>
                <w:sz w:val="20"/>
                <w:szCs w:val="20"/>
              </w:rPr>
              <w:t>L</w:t>
            </w:r>
            <w:r w:rsidRPr="009F63C7">
              <w:rPr>
                <w:rFonts w:asciiTheme="majorHAnsi" w:hAnsiTheme="majorHAnsi" w:cstheme="majorHAnsi"/>
                <w:b/>
                <w:sz w:val="20"/>
                <w:szCs w:val="20"/>
              </w:rPr>
              <w:t>ink</w:t>
            </w:r>
            <w:r w:rsidRPr="009F63C7">
              <w:rPr>
                <w:rFonts w:asciiTheme="majorHAnsi" w:hAnsiTheme="majorHAnsi" w:cstheme="majorHAnsi"/>
                <w:sz w:val="20"/>
                <w:szCs w:val="20"/>
              </w:rPr>
              <w:t xml:space="preserve"> </w:t>
            </w:r>
            <w:r>
              <w:rPr>
                <w:rFonts w:asciiTheme="majorHAnsi" w:hAnsiTheme="majorHAnsi" w:cstheme="majorHAnsi"/>
                <w:sz w:val="20"/>
                <w:szCs w:val="20"/>
              </w:rPr>
              <w:t>to full OICR</w:t>
            </w:r>
            <w:r w:rsidRPr="009F63C7">
              <w:rPr>
                <w:rFonts w:asciiTheme="majorHAnsi" w:hAnsiTheme="majorHAnsi" w:cstheme="majorHAnsi"/>
                <w:sz w:val="20"/>
                <w:szCs w:val="20"/>
              </w:rPr>
              <w:t>.</w:t>
            </w:r>
          </w:p>
        </w:tc>
        <w:tc>
          <w:tcPr>
            <w:tcW w:w="415" w:type="pct"/>
            <w:shd w:val="clear" w:color="auto" w:fill="FFF2CC"/>
          </w:tcPr>
          <w:p w14:paraId="4FD1FD9E" w14:textId="77777777" w:rsidR="00A3515A" w:rsidRPr="009F63C7" w:rsidRDefault="00A3515A" w:rsidP="0070227C">
            <w:pPr>
              <w:spacing w:before="100"/>
              <w:rPr>
                <w:rFonts w:asciiTheme="majorHAnsi" w:hAnsiTheme="majorHAnsi" w:cstheme="majorHAnsi"/>
                <w:sz w:val="20"/>
                <w:szCs w:val="20"/>
              </w:rPr>
            </w:pPr>
            <w:r w:rsidRPr="009F63C7">
              <w:rPr>
                <w:rFonts w:asciiTheme="majorHAnsi" w:hAnsiTheme="majorHAnsi" w:cstheme="majorHAnsi"/>
                <w:b/>
                <w:sz w:val="20"/>
                <w:szCs w:val="20"/>
              </w:rPr>
              <w:t xml:space="preserve">Maturity level </w:t>
            </w:r>
            <w:r w:rsidRPr="009F63C7">
              <w:rPr>
                <w:rFonts w:asciiTheme="majorHAnsi" w:hAnsiTheme="majorHAnsi" w:cstheme="majorHAnsi"/>
                <w:sz w:val="20"/>
                <w:szCs w:val="20"/>
              </w:rPr>
              <w:t xml:space="preserve">drop down for: </w:t>
            </w:r>
            <w:r w:rsidRPr="009F63C7">
              <w:rPr>
                <w:rFonts w:asciiTheme="majorHAnsi" w:hAnsiTheme="majorHAnsi" w:cstheme="majorHAnsi"/>
                <w:sz w:val="20"/>
                <w:szCs w:val="20"/>
              </w:rPr>
              <w:br/>
              <w:t>1, 2, or 3</w:t>
            </w:r>
          </w:p>
        </w:tc>
        <w:tc>
          <w:tcPr>
            <w:tcW w:w="980" w:type="pct"/>
            <w:shd w:val="clear" w:color="auto" w:fill="FFF2CC"/>
          </w:tcPr>
          <w:p w14:paraId="45FB81D8" w14:textId="77777777" w:rsidR="00A3515A" w:rsidRPr="009F63C7" w:rsidRDefault="00A3515A" w:rsidP="0070227C">
            <w:pPr>
              <w:spacing w:before="100"/>
              <w:rPr>
                <w:rFonts w:asciiTheme="majorHAnsi" w:hAnsiTheme="majorHAnsi" w:cstheme="majorHAnsi"/>
                <w:sz w:val="20"/>
                <w:szCs w:val="20"/>
              </w:rPr>
            </w:pPr>
            <w:r w:rsidRPr="009F63C7">
              <w:rPr>
                <w:rFonts w:asciiTheme="majorHAnsi" w:hAnsiTheme="majorHAnsi" w:cstheme="majorHAnsi"/>
                <w:b/>
                <w:sz w:val="20"/>
                <w:szCs w:val="20"/>
              </w:rPr>
              <w:t xml:space="preserve">Indicate if this is: </w:t>
            </w:r>
            <w:r w:rsidRPr="009F63C7">
              <w:rPr>
                <w:rFonts w:asciiTheme="majorHAnsi" w:hAnsiTheme="majorHAnsi" w:cstheme="majorHAnsi"/>
                <w:sz w:val="20"/>
                <w:szCs w:val="20"/>
              </w:rPr>
              <w:t>(drop down)</w:t>
            </w:r>
            <w:r w:rsidRPr="009F63C7">
              <w:rPr>
                <w:rFonts w:asciiTheme="majorHAnsi" w:hAnsiTheme="majorHAnsi" w:cstheme="majorHAnsi"/>
                <w:sz w:val="20"/>
                <w:szCs w:val="20"/>
              </w:rPr>
              <w:tab/>
            </w:r>
          </w:p>
          <w:p w14:paraId="5CB12770" w14:textId="77777777" w:rsidR="00A3515A" w:rsidRPr="009F63C7" w:rsidRDefault="00A3515A" w:rsidP="00A3515A">
            <w:pPr>
              <w:numPr>
                <w:ilvl w:val="0"/>
                <w:numId w:val="1"/>
              </w:numPr>
              <w:ind w:left="270" w:hanging="270"/>
              <w:contextualSpacing/>
              <w:rPr>
                <w:rFonts w:asciiTheme="majorHAnsi" w:hAnsiTheme="majorHAnsi" w:cstheme="majorHAnsi"/>
                <w:sz w:val="20"/>
                <w:szCs w:val="20"/>
              </w:rPr>
            </w:pPr>
            <w:r w:rsidRPr="009F63C7">
              <w:rPr>
                <w:rFonts w:asciiTheme="majorHAnsi" w:hAnsiTheme="majorHAnsi" w:cstheme="majorHAnsi"/>
                <w:sz w:val="20"/>
                <w:szCs w:val="20"/>
              </w:rPr>
              <w:t>new outcome</w:t>
            </w:r>
          </w:p>
          <w:p w14:paraId="1342EA14" w14:textId="77777777" w:rsidR="00A3515A" w:rsidRPr="009F63C7" w:rsidRDefault="00A3515A" w:rsidP="00A3515A">
            <w:pPr>
              <w:numPr>
                <w:ilvl w:val="0"/>
                <w:numId w:val="1"/>
              </w:numPr>
              <w:ind w:left="270" w:hanging="270"/>
              <w:contextualSpacing/>
              <w:rPr>
                <w:rFonts w:asciiTheme="majorHAnsi" w:hAnsiTheme="majorHAnsi" w:cstheme="majorHAnsi"/>
                <w:sz w:val="20"/>
                <w:szCs w:val="20"/>
              </w:rPr>
            </w:pPr>
            <w:r w:rsidRPr="009F63C7">
              <w:rPr>
                <w:rFonts w:asciiTheme="majorHAnsi" w:hAnsiTheme="majorHAnsi" w:cstheme="majorHAnsi"/>
                <w:sz w:val="20"/>
                <w:szCs w:val="20"/>
              </w:rPr>
              <w:t>updated Case- same level of maturity</w:t>
            </w:r>
          </w:p>
          <w:p w14:paraId="091AB472" w14:textId="77777777" w:rsidR="00A3515A" w:rsidRPr="009F63C7" w:rsidRDefault="00A3515A" w:rsidP="00A3515A">
            <w:pPr>
              <w:numPr>
                <w:ilvl w:val="0"/>
                <w:numId w:val="1"/>
              </w:numPr>
              <w:tabs>
                <w:tab w:val="left" w:pos="2722"/>
              </w:tabs>
              <w:ind w:left="270" w:hanging="270"/>
              <w:contextualSpacing/>
              <w:rPr>
                <w:rFonts w:asciiTheme="majorHAnsi" w:hAnsiTheme="majorHAnsi" w:cstheme="majorHAnsi"/>
                <w:sz w:val="20"/>
                <w:szCs w:val="20"/>
              </w:rPr>
            </w:pPr>
            <w:r w:rsidRPr="009F63C7">
              <w:rPr>
                <w:rFonts w:asciiTheme="majorHAnsi" w:hAnsiTheme="majorHAnsi" w:cstheme="majorHAnsi"/>
                <w:sz w:val="20"/>
                <w:szCs w:val="20"/>
              </w:rPr>
              <w:t>updated Case- new level of maturity</w:t>
            </w:r>
          </w:p>
        </w:tc>
      </w:tr>
      <w:tr w:rsidR="00A3515A" w:rsidRPr="009F63C7" w14:paraId="24AC0E56" w14:textId="77777777" w:rsidTr="00781D80">
        <w:trPr>
          <w:trHeight w:val="32"/>
        </w:trPr>
        <w:tc>
          <w:tcPr>
            <w:tcW w:w="1969" w:type="pct"/>
          </w:tcPr>
          <w:p w14:paraId="4D63451D" w14:textId="4EE82E86" w:rsidR="00A3515A" w:rsidRPr="005D3CF1" w:rsidRDefault="00864C5F" w:rsidP="0070227C">
            <w:pPr>
              <w:rPr>
                <w:rFonts w:asciiTheme="majorHAnsi" w:hAnsiTheme="majorHAnsi" w:cstheme="majorHAnsi"/>
                <w:sz w:val="20"/>
                <w:szCs w:val="20"/>
              </w:rPr>
            </w:pPr>
            <w:r w:rsidRPr="005D3CF1">
              <w:rPr>
                <w:rFonts w:asciiTheme="majorHAnsi" w:hAnsiTheme="majorHAnsi" w:cstheme="majorHAnsi"/>
                <w:sz w:val="20"/>
                <w:szCs w:val="20"/>
              </w:rPr>
              <w:t xml:space="preserve">PE analysis and cropping systems modelling incorporated as an </w:t>
            </w:r>
            <w:r w:rsidRPr="005D3CF1">
              <w:rPr>
                <w:rFonts w:asciiTheme="majorHAnsi" w:hAnsiTheme="majorHAnsi" w:cstheme="majorHAnsi"/>
                <w:sz w:val="20"/>
                <w:szCs w:val="20"/>
              </w:rPr>
              <w:lastRenderedPageBreak/>
              <w:t>integral part of crop improvement programs in ICRISAT</w:t>
            </w:r>
          </w:p>
          <w:p w14:paraId="18205957" w14:textId="77777777" w:rsidR="009B6F75" w:rsidRPr="005D3CF1" w:rsidRDefault="009B6F75" w:rsidP="0070227C">
            <w:pPr>
              <w:rPr>
                <w:rFonts w:asciiTheme="majorHAnsi" w:hAnsiTheme="majorHAnsi" w:cstheme="majorHAnsi"/>
                <w:sz w:val="20"/>
                <w:szCs w:val="20"/>
              </w:rPr>
            </w:pPr>
          </w:p>
          <w:p w14:paraId="09E5147F" w14:textId="38C5D244" w:rsidR="00864C5F" w:rsidRPr="005D3CF1" w:rsidRDefault="00D919B5" w:rsidP="0070227C">
            <w:pPr>
              <w:rPr>
                <w:rFonts w:asciiTheme="majorHAnsi" w:hAnsiTheme="majorHAnsi" w:cstheme="majorHAnsi"/>
                <w:sz w:val="20"/>
                <w:szCs w:val="20"/>
              </w:rPr>
            </w:pPr>
            <w:r w:rsidRPr="005D3CF1">
              <w:rPr>
                <w:rFonts w:asciiTheme="majorHAnsi" w:hAnsiTheme="majorHAnsi" w:cstheme="majorHAnsi"/>
                <w:sz w:val="20"/>
                <w:szCs w:val="20"/>
              </w:rPr>
              <w:t xml:space="preserve">Characterization of the main bio-geo-physical properties of the main crop production systems. Quantification of the main production constraints. In-silico evaluation of the technologies and optimization of </w:t>
            </w:r>
            <w:proofErr w:type="spellStart"/>
            <w:r w:rsidRPr="005D3CF1">
              <w:rPr>
                <w:rFonts w:asciiTheme="majorHAnsi" w:hAnsiTheme="majorHAnsi" w:cstheme="majorHAnsi"/>
                <w:sz w:val="20"/>
                <w:szCs w:val="20"/>
              </w:rPr>
              <w:t>GxM</w:t>
            </w:r>
            <w:proofErr w:type="spellEnd"/>
            <w:r w:rsidRPr="005D3CF1">
              <w:rPr>
                <w:rFonts w:asciiTheme="majorHAnsi" w:hAnsiTheme="majorHAnsi" w:cstheme="majorHAnsi"/>
                <w:sz w:val="20"/>
                <w:szCs w:val="20"/>
              </w:rPr>
              <w:t xml:space="preserve"> for E. Analyses conducted according to the BPAD recommendations and breeding programs demand. Demand defined based on the collaboration with the crop improvement teams (NARES and ICRISAT).</w:t>
            </w:r>
          </w:p>
        </w:tc>
        <w:tc>
          <w:tcPr>
            <w:tcW w:w="1637" w:type="pct"/>
          </w:tcPr>
          <w:p w14:paraId="2AB1E9C2" w14:textId="4500FC5D" w:rsidR="00967AE9" w:rsidRPr="00967AE9" w:rsidRDefault="00703DB8" w:rsidP="00781D80">
            <w:pPr>
              <w:pStyle w:val="NoSpacing"/>
              <w:rPr>
                <w:rFonts w:asciiTheme="majorHAnsi" w:hAnsiTheme="majorHAnsi" w:cstheme="majorHAnsi"/>
                <w:sz w:val="20"/>
                <w:szCs w:val="20"/>
                <w:shd w:val="clear" w:color="auto" w:fill="FFFFFF"/>
              </w:rPr>
            </w:pPr>
            <w:hyperlink r:id="rId40" w:history="1">
              <w:r w:rsidR="00967AE9" w:rsidRPr="00967AE9">
                <w:rPr>
                  <w:rStyle w:val="Hyperlink"/>
                  <w:rFonts w:asciiTheme="majorHAnsi" w:hAnsiTheme="majorHAnsi" w:cstheme="majorHAnsi"/>
                  <w:sz w:val="20"/>
                  <w:szCs w:val="20"/>
                </w:rPr>
                <w:t>https://www.icrisat.org/simulating-postrainy-sorghum-</w:t>
              </w:r>
              <w:r w:rsidR="00967AE9" w:rsidRPr="00967AE9">
                <w:rPr>
                  <w:rStyle w:val="Hyperlink"/>
                  <w:rFonts w:asciiTheme="majorHAnsi" w:hAnsiTheme="majorHAnsi" w:cstheme="majorHAnsi"/>
                  <w:sz w:val="20"/>
                  <w:szCs w:val="20"/>
                </w:rPr>
                <w:lastRenderedPageBreak/>
                <w:t>yield-response-to-on-station-n-management-in-india/</w:t>
              </w:r>
            </w:hyperlink>
          </w:p>
          <w:p w14:paraId="274257C8" w14:textId="2A80CFD5" w:rsidR="00781D80" w:rsidRPr="00781D80" w:rsidRDefault="00781D80" w:rsidP="00781D80">
            <w:pPr>
              <w:pStyle w:val="NoSpacing"/>
              <w:rPr>
                <w:rFonts w:asciiTheme="majorHAnsi" w:hAnsiTheme="majorHAnsi" w:cstheme="majorHAnsi"/>
                <w:sz w:val="20"/>
                <w:szCs w:val="20"/>
                <w:shd w:val="clear" w:color="auto" w:fill="FFFFFF"/>
              </w:rPr>
            </w:pPr>
            <w:proofErr w:type="spellStart"/>
            <w:r w:rsidRPr="00781D80">
              <w:rPr>
                <w:rFonts w:asciiTheme="majorHAnsi" w:hAnsiTheme="majorHAnsi" w:cstheme="majorHAnsi"/>
                <w:sz w:val="20"/>
                <w:szCs w:val="20"/>
                <w:shd w:val="clear" w:color="auto" w:fill="FFFFFF"/>
              </w:rPr>
              <w:t>Jarolímek_Kholova</w:t>
            </w:r>
            <w:proofErr w:type="spellEnd"/>
            <w:r w:rsidRPr="00781D80">
              <w:rPr>
                <w:rFonts w:asciiTheme="majorHAnsi" w:hAnsiTheme="majorHAnsi" w:cstheme="majorHAnsi"/>
                <w:sz w:val="20"/>
                <w:szCs w:val="20"/>
                <w:shd w:val="clear" w:color="auto" w:fill="FFFFFF"/>
              </w:rPr>
              <w:t>, et al 2019. Economics and Informatics 11 (1): 49-53.</w:t>
            </w:r>
          </w:p>
          <w:p w14:paraId="0A98D968" w14:textId="77777777" w:rsidR="00781D80" w:rsidRPr="00781D80" w:rsidRDefault="00781D80" w:rsidP="00781D80">
            <w:pPr>
              <w:pStyle w:val="NoSpacing"/>
              <w:rPr>
                <w:rFonts w:asciiTheme="majorHAnsi" w:hAnsiTheme="majorHAnsi" w:cstheme="majorHAnsi"/>
                <w:sz w:val="20"/>
                <w:szCs w:val="20"/>
                <w:shd w:val="clear" w:color="auto" w:fill="FFFFFF"/>
              </w:rPr>
            </w:pPr>
            <w:proofErr w:type="spellStart"/>
            <w:r w:rsidRPr="00781D80">
              <w:rPr>
                <w:rFonts w:asciiTheme="majorHAnsi" w:hAnsiTheme="majorHAnsi" w:cstheme="majorHAnsi"/>
                <w:sz w:val="20"/>
                <w:szCs w:val="20"/>
                <w:shd w:val="clear" w:color="auto" w:fill="FFFFFF"/>
              </w:rPr>
              <w:t>Hajjarpoor_Kholova</w:t>
            </w:r>
            <w:proofErr w:type="spellEnd"/>
            <w:r w:rsidRPr="00781D80">
              <w:rPr>
                <w:rFonts w:asciiTheme="majorHAnsi" w:hAnsiTheme="majorHAnsi" w:cstheme="majorHAnsi"/>
                <w:sz w:val="20"/>
                <w:szCs w:val="20"/>
                <w:shd w:val="clear" w:color="auto" w:fill="FFFFFF"/>
              </w:rPr>
              <w:t xml:space="preserve"> et al (2018). FCR.</w:t>
            </w:r>
          </w:p>
          <w:p w14:paraId="2F2DBA51" w14:textId="77777777" w:rsidR="00A3515A" w:rsidRPr="00781D80" w:rsidRDefault="00703DB8" w:rsidP="00781D80">
            <w:pPr>
              <w:pStyle w:val="NoSpacing"/>
              <w:rPr>
                <w:rStyle w:val="Hyperlink"/>
                <w:rFonts w:asciiTheme="majorHAnsi" w:hAnsiTheme="majorHAnsi" w:cstheme="majorHAnsi"/>
                <w:color w:val="1155CC"/>
                <w:sz w:val="20"/>
                <w:szCs w:val="20"/>
              </w:rPr>
            </w:pPr>
            <w:hyperlink r:id="rId41" w:history="1">
              <w:r w:rsidR="00781D80" w:rsidRPr="00781D80">
                <w:rPr>
                  <w:rStyle w:val="Hyperlink"/>
                  <w:rFonts w:asciiTheme="majorHAnsi" w:hAnsiTheme="majorHAnsi" w:cstheme="majorHAnsi"/>
                  <w:color w:val="000000"/>
                  <w:sz w:val="20"/>
                  <w:szCs w:val="20"/>
                </w:rPr>
                <w:t xml:space="preserve"> </w:t>
              </w:r>
              <w:r w:rsidR="00781D80" w:rsidRPr="00781D80">
                <w:rPr>
                  <w:rStyle w:val="Hyperlink"/>
                  <w:rFonts w:asciiTheme="majorHAnsi" w:hAnsiTheme="majorHAnsi" w:cstheme="majorHAnsi"/>
                  <w:color w:val="1155CC"/>
                  <w:sz w:val="20"/>
                  <w:szCs w:val="20"/>
                </w:rPr>
                <w:t>http://dx.doi.org/10.1071/FP13355</w:t>
              </w:r>
            </w:hyperlink>
          </w:p>
          <w:p w14:paraId="71C3F4B2" w14:textId="77777777" w:rsidR="00781D80" w:rsidRPr="00781D80" w:rsidRDefault="00703DB8" w:rsidP="00781D80">
            <w:pPr>
              <w:pStyle w:val="NoSpacing"/>
              <w:rPr>
                <w:rStyle w:val="Hyperlink"/>
                <w:rFonts w:asciiTheme="majorHAnsi" w:hAnsiTheme="majorHAnsi" w:cstheme="majorHAnsi"/>
                <w:sz w:val="20"/>
                <w:szCs w:val="20"/>
              </w:rPr>
            </w:pPr>
            <w:hyperlink r:id="rId42" w:history="1">
              <w:r w:rsidR="00781D80" w:rsidRPr="00781D80">
                <w:rPr>
                  <w:rStyle w:val="Hyperlink"/>
                  <w:rFonts w:asciiTheme="majorHAnsi" w:hAnsiTheme="majorHAnsi" w:cstheme="majorHAnsi"/>
                  <w:sz w:val="20"/>
                  <w:szCs w:val="20"/>
                </w:rPr>
                <w:t>https://maps.csita.cz/</w:t>
              </w:r>
            </w:hyperlink>
          </w:p>
          <w:p w14:paraId="344FF280" w14:textId="0DF9458A" w:rsidR="00781D80" w:rsidRPr="00967AE9" w:rsidRDefault="00703DB8" w:rsidP="00967AE9">
            <w:pPr>
              <w:rPr>
                <w:rFonts w:asciiTheme="majorHAnsi" w:hAnsiTheme="majorHAnsi" w:cstheme="majorHAnsi"/>
                <w:color w:val="0563C1" w:themeColor="hyperlink"/>
                <w:sz w:val="20"/>
                <w:szCs w:val="20"/>
                <w:u w:val="single"/>
              </w:rPr>
            </w:pPr>
            <w:hyperlink r:id="rId43" w:history="1">
              <w:r w:rsidR="00781D80" w:rsidRPr="00781D80">
                <w:rPr>
                  <w:rStyle w:val="Hyperlink"/>
                  <w:rFonts w:asciiTheme="majorHAnsi" w:hAnsiTheme="majorHAnsi" w:cstheme="majorHAnsi"/>
                  <w:sz w:val="20"/>
                  <w:szCs w:val="20"/>
                </w:rPr>
                <w:t>https://www.icrisat.org/identifying-climate-smart-sorghum-lines-for-mali/</w:t>
              </w:r>
            </w:hyperlink>
          </w:p>
        </w:tc>
        <w:tc>
          <w:tcPr>
            <w:tcW w:w="415" w:type="pct"/>
          </w:tcPr>
          <w:p w14:paraId="7A16F256" w14:textId="1773894C" w:rsidR="00A3515A" w:rsidRPr="009F63C7" w:rsidRDefault="00ED2650" w:rsidP="0070227C">
            <w:pPr>
              <w:rPr>
                <w:rFonts w:asciiTheme="majorHAnsi" w:hAnsiTheme="majorHAnsi" w:cstheme="majorHAnsi"/>
                <w:sz w:val="20"/>
                <w:szCs w:val="20"/>
              </w:rPr>
            </w:pPr>
            <w:r>
              <w:rPr>
                <w:rFonts w:asciiTheme="majorHAnsi" w:hAnsiTheme="majorHAnsi" w:cstheme="majorHAnsi"/>
                <w:sz w:val="20"/>
                <w:szCs w:val="20"/>
              </w:rPr>
              <w:lastRenderedPageBreak/>
              <w:t>2</w:t>
            </w:r>
          </w:p>
        </w:tc>
        <w:tc>
          <w:tcPr>
            <w:tcW w:w="980" w:type="pct"/>
          </w:tcPr>
          <w:p w14:paraId="5D5BC547" w14:textId="22CC611C" w:rsidR="00A3515A" w:rsidRPr="009F63C7" w:rsidRDefault="00104EFA" w:rsidP="0070227C">
            <w:pPr>
              <w:rPr>
                <w:rFonts w:asciiTheme="majorHAnsi" w:hAnsiTheme="majorHAnsi" w:cstheme="majorHAnsi"/>
                <w:sz w:val="20"/>
                <w:szCs w:val="20"/>
              </w:rPr>
            </w:pPr>
            <w:r w:rsidRPr="009F63C7">
              <w:rPr>
                <w:rFonts w:asciiTheme="majorHAnsi" w:hAnsiTheme="majorHAnsi" w:cstheme="majorHAnsi"/>
                <w:sz w:val="20"/>
                <w:szCs w:val="20"/>
              </w:rPr>
              <w:t xml:space="preserve">updated Case- new level of </w:t>
            </w:r>
            <w:r w:rsidRPr="009F63C7">
              <w:rPr>
                <w:rFonts w:asciiTheme="majorHAnsi" w:hAnsiTheme="majorHAnsi" w:cstheme="majorHAnsi"/>
                <w:sz w:val="20"/>
                <w:szCs w:val="20"/>
              </w:rPr>
              <w:lastRenderedPageBreak/>
              <w:t>maturity</w:t>
            </w:r>
          </w:p>
        </w:tc>
      </w:tr>
      <w:tr w:rsidR="0003498A" w:rsidRPr="009F63C7" w14:paraId="73B6D012" w14:textId="77777777" w:rsidTr="00781D80">
        <w:trPr>
          <w:trHeight w:val="32"/>
        </w:trPr>
        <w:tc>
          <w:tcPr>
            <w:tcW w:w="1969" w:type="pct"/>
          </w:tcPr>
          <w:p w14:paraId="5DED8A58" w14:textId="7CE142E2" w:rsidR="009E39E8" w:rsidRDefault="009E39E8" w:rsidP="0070227C">
            <w:pPr>
              <w:rPr>
                <w:rFonts w:asciiTheme="majorHAnsi" w:eastAsia="Calibri" w:hAnsiTheme="majorHAnsi" w:cstheme="majorHAnsi"/>
                <w:sz w:val="20"/>
                <w:szCs w:val="20"/>
              </w:rPr>
            </w:pPr>
            <w:r>
              <w:rPr>
                <w:rFonts w:asciiTheme="majorHAnsi" w:eastAsia="Calibri" w:hAnsiTheme="majorHAnsi" w:cstheme="majorHAnsi"/>
                <w:sz w:val="20"/>
                <w:szCs w:val="20"/>
              </w:rPr>
              <w:lastRenderedPageBreak/>
              <w:t>Comprehensive framework for sustainability assessment</w:t>
            </w:r>
          </w:p>
          <w:p w14:paraId="5911811F" w14:textId="07D527D8" w:rsidR="00C6036F" w:rsidRPr="005D3CF1" w:rsidRDefault="000911DE" w:rsidP="0070227C">
            <w:pPr>
              <w:rPr>
                <w:rFonts w:asciiTheme="majorHAnsi" w:hAnsiTheme="majorHAnsi" w:cstheme="majorHAnsi"/>
                <w:sz w:val="20"/>
                <w:szCs w:val="20"/>
              </w:rPr>
            </w:pPr>
            <w:r w:rsidRPr="005D3CF1">
              <w:rPr>
                <w:rFonts w:asciiTheme="majorHAnsi" w:eastAsia="Calibri" w:hAnsiTheme="majorHAnsi" w:cstheme="majorHAnsi"/>
                <w:sz w:val="20"/>
                <w:szCs w:val="20"/>
              </w:rPr>
              <w:t>Development and piloting of a comprehensive framework for farming systems sustainability assessment with five domains and 115 indicators in SA and SSA was developed and the same was implemented and validated in one location in India (Nalgonda) for different functional farm types. A good progress has been made on the development of online open access tool for farming system sustainability assessment</w:t>
            </w:r>
            <w:r w:rsidR="00EE4772">
              <w:rPr>
                <w:rFonts w:asciiTheme="majorHAnsi" w:hAnsiTheme="majorHAnsi" w:cstheme="majorHAnsi"/>
                <w:sz w:val="20"/>
                <w:szCs w:val="20"/>
              </w:rPr>
              <w:t xml:space="preserve"> </w:t>
            </w:r>
            <w:r w:rsidR="006827AA" w:rsidRPr="005D3CF1">
              <w:rPr>
                <w:rFonts w:asciiTheme="majorHAnsi" w:hAnsiTheme="majorHAnsi" w:cstheme="majorHAnsi"/>
                <w:sz w:val="20"/>
                <w:szCs w:val="20"/>
              </w:rPr>
              <w:t>and would be a global public good.</w:t>
            </w:r>
          </w:p>
        </w:tc>
        <w:tc>
          <w:tcPr>
            <w:tcW w:w="1637" w:type="pct"/>
          </w:tcPr>
          <w:p w14:paraId="7538E027" w14:textId="71B40940" w:rsidR="00781D80" w:rsidRPr="00781D80" w:rsidRDefault="00781D80" w:rsidP="00781D80">
            <w:pPr>
              <w:rPr>
                <w:rFonts w:asciiTheme="majorHAnsi" w:hAnsiTheme="majorHAnsi" w:cstheme="majorHAnsi"/>
                <w:sz w:val="20"/>
                <w:szCs w:val="20"/>
              </w:rPr>
            </w:pPr>
            <w:r w:rsidRPr="00781D80">
              <w:rPr>
                <w:rFonts w:asciiTheme="majorHAnsi" w:hAnsiTheme="majorHAnsi" w:cstheme="majorHAnsi"/>
                <w:sz w:val="20"/>
                <w:szCs w:val="20"/>
              </w:rPr>
              <w:t>Some relevant links are here:</w:t>
            </w:r>
          </w:p>
          <w:p w14:paraId="3E99ED53" w14:textId="13535713" w:rsidR="00781D80" w:rsidRPr="00967AE9" w:rsidRDefault="00703DB8" w:rsidP="00967AE9">
            <w:pPr>
              <w:pStyle w:val="ListParagraph"/>
              <w:numPr>
                <w:ilvl w:val="0"/>
                <w:numId w:val="11"/>
              </w:numPr>
              <w:ind w:left="66" w:hanging="141"/>
              <w:rPr>
                <w:rStyle w:val="Hyperlink"/>
                <w:rFonts w:asciiTheme="minorHAnsi" w:hAnsiTheme="minorHAnsi" w:cstheme="minorHAnsi"/>
                <w:sz w:val="20"/>
                <w:szCs w:val="20"/>
              </w:rPr>
            </w:pPr>
            <w:hyperlink r:id="rId44" w:history="1">
              <w:r w:rsidR="00781D80" w:rsidRPr="00967AE9">
                <w:rPr>
                  <w:rStyle w:val="Hyperlink"/>
                  <w:rFonts w:asciiTheme="minorHAnsi" w:hAnsiTheme="minorHAnsi" w:cstheme="minorHAnsi"/>
                  <w:sz w:val="20"/>
                  <w:szCs w:val="20"/>
                </w:rPr>
                <w:t>http://oar.icrisat.org/11246/</w:t>
              </w:r>
            </w:hyperlink>
          </w:p>
          <w:p w14:paraId="64E48F85" w14:textId="77777777" w:rsidR="0003498A" w:rsidRPr="00967AE9" w:rsidRDefault="00703DB8" w:rsidP="00967AE9">
            <w:pPr>
              <w:pStyle w:val="ListParagraph"/>
              <w:numPr>
                <w:ilvl w:val="0"/>
                <w:numId w:val="11"/>
              </w:numPr>
              <w:ind w:left="66" w:hanging="141"/>
              <w:rPr>
                <w:rStyle w:val="Hyperlink"/>
                <w:rFonts w:asciiTheme="majorHAnsi" w:hAnsiTheme="majorHAnsi" w:cstheme="majorHAnsi"/>
                <w:color w:val="auto"/>
                <w:sz w:val="20"/>
                <w:szCs w:val="20"/>
                <w:u w:val="none"/>
              </w:rPr>
            </w:pPr>
            <w:hyperlink r:id="rId45" w:history="1">
              <w:r w:rsidR="00781D80" w:rsidRPr="00967AE9">
                <w:rPr>
                  <w:rStyle w:val="Hyperlink"/>
                  <w:rFonts w:asciiTheme="minorHAnsi" w:hAnsiTheme="minorHAnsi" w:cstheme="minorHAnsi"/>
                  <w:sz w:val="20"/>
                  <w:szCs w:val="20"/>
                </w:rPr>
                <w:t>https://bscmsc.pps.wur.nl/assessment-potential-future-sustain-ability-smallholder-farming-old-cotton-basin-mali</w:t>
              </w:r>
            </w:hyperlink>
          </w:p>
          <w:p w14:paraId="0F9370C9" w14:textId="15D43105" w:rsidR="00967AE9" w:rsidRPr="00967AE9" w:rsidRDefault="00967AE9" w:rsidP="00967AE9">
            <w:pPr>
              <w:rPr>
                <w:rFonts w:asciiTheme="majorHAnsi" w:hAnsiTheme="majorHAnsi" w:cstheme="majorHAnsi"/>
                <w:sz w:val="20"/>
                <w:szCs w:val="20"/>
              </w:rPr>
            </w:pPr>
            <w:r>
              <w:rPr>
                <w:rFonts w:asciiTheme="majorHAnsi" w:hAnsiTheme="majorHAnsi" w:cstheme="majorHAnsi"/>
                <w:sz w:val="20"/>
                <w:szCs w:val="20"/>
              </w:rPr>
              <w:t>We have shared the framework with the stakeholders and NARS, however the major output is yet to be published.</w:t>
            </w:r>
          </w:p>
        </w:tc>
        <w:tc>
          <w:tcPr>
            <w:tcW w:w="415" w:type="pct"/>
          </w:tcPr>
          <w:p w14:paraId="265A7F6D" w14:textId="4666DDCF" w:rsidR="0003498A" w:rsidRPr="009F63C7" w:rsidRDefault="00ED2650" w:rsidP="0070227C">
            <w:pPr>
              <w:rPr>
                <w:rFonts w:asciiTheme="majorHAnsi" w:hAnsiTheme="majorHAnsi" w:cstheme="majorHAnsi"/>
                <w:sz w:val="20"/>
                <w:szCs w:val="20"/>
              </w:rPr>
            </w:pPr>
            <w:r>
              <w:rPr>
                <w:rFonts w:asciiTheme="majorHAnsi" w:hAnsiTheme="majorHAnsi" w:cstheme="majorHAnsi"/>
                <w:sz w:val="20"/>
                <w:szCs w:val="20"/>
              </w:rPr>
              <w:t>2</w:t>
            </w:r>
          </w:p>
        </w:tc>
        <w:tc>
          <w:tcPr>
            <w:tcW w:w="980" w:type="pct"/>
          </w:tcPr>
          <w:p w14:paraId="78D7391C" w14:textId="15B63C34" w:rsidR="0003498A" w:rsidRPr="009F63C7" w:rsidRDefault="00104EFA" w:rsidP="0070227C">
            <w:pPr>
              <w:rPr>
                <w:rFonts w:asciiTheme="majorHAnsi" w:hAnsiTheme="majorHAnsi" w:cstheme="majorHAnsi"/>
                <w:sz w:val="20"/>
                <w:szCs w:val="20"/>
              </w:rPr>
            </w:pPr>
            <w:r w:rsidRPr="009F63C7">
              <w:rPr>
                <w:rFonts w:asciiTheme="majorHAnsi" w:hAnsiTheme="majorHAnsi" w:cstheme="majorHAnsi"/>
                <w:sz w:val="20"/>
                <w:szCs w:val="20"/>
              </w:rPr>
              <w:t>updated Case- new level of maturity</w:t>
            </w:r>
          </w:p>
        </w:tc>
      </w:tr>
      <w:tr w:rsidR="0003498A" w:rsidRPr="009F63C7" w14:paraId="79968E26" w14:textId="77777777" w:rsidTr="00781D80">
        <w:trPr>
          <w:trHeight w:val="32"/>
        </w:trPr>
        <w:tc>
          <w:tcPr>
            <w:tcW w:w="1969" w:type="pct"/>
          </w:tcPr>
          <w:p w14:paraId="0177E574" w14:textId="77777777" w:rsidR="0003498A" w:rsidRPr="009F63C7" w:rsidRDefault="0003498A" w:rsidP="0070227C">
            <w:pPr>
              <w:rPr>
                <w:rFonts w:asciiTheme="majorHAnsi" w:hAnsiTheme="majorHAnsi" w:cstheme="majorHAnsi"/>
                <w:sz w:val="20"/>
                <w:szCs w:val="20"/>
              </w:rPr>
            </w:pPr>
          </w:p>
        </w:tc>
        <w:tc>
          <w:tcPr>
            <w:tcW w:w="1637" w:type="pct"/>
          </w:tcPr>
          <w:p w14:paraId="6FAA3CCC" w14:textId="77777777" w:rsidR="0003498A" w:rsidRPr="009F63C7" w:rsidRDefault="0003498A" w:rsidP="0070227C">
            <w:pPr>
              <w:rPr>
                <w:rFonts w:asciiTheme="majorHAnsi" w:hAnsiTheme="majorHAnsi" w:cstheme="majorHAnsi"/>
                <w:sz w:val="20"/>
                <w:szCs w:val="20"/>
              </w:rPr>
            </w:pPr>
          </w:p>
        </w:tc>
        <w:tc>
          <w:tcPr>
            <w:tcW w:w="415" w:type="pct"/>
          </w:tcPr>
          <w:p w14:paraId="70EB5E03" w14:textId="77777777" w:rsidR="0003498A" w:rsidRPr="009F63C7" w:rsidRDefault="0003498A" w:rsidP="0070227C">
            <w:pPr>
              <w:rPr>
                <w:rFonts w:asciiTheme="majorHAnsi" w:hAnsiTheme="majorHAnsi" w:cstheme="majorHAnsi"/>
                <w:sz w:val="20"/>
                <w:szCs w:val="20"/>
              </w:rPr>
            </w:pPr>
          </w:p>
        </w:tc>
        <w:tc>
          <w:tcPr>
            <w:tcW w:w="980" w:type="pct"/>
          </w:tcPr>
          <w:p w14:paraId="108280DE" w14:textId="77777777" w:rsidR="0003498A" w:rsidRPr="009F63C7" w:rsidRDefault="0003498A" w:rsidP="0070227C">
            <w:pPr>
              <w:rPr>
                <w:rFonts w:asciiTheme="majorHAnsi" w:hAnsiTheme="majorHAnsi" w:cstheme="majorHAnsi"/>
                <w:sz w:val="20"/>
                <w:szCs w:val="20"/>
              </w:rPr>
            </w:pPr>
          </w:p>
        </w:tc>
      </w:tr>
    </w:tbl>
    <w:p w14:paraId="6AF608C1" w14:textId="77777777" w:rsidR="002B0A39" w:rsidRDefault="002B0A39">
      <w:bookmarkStart w:id="46" w:name="_GoBack"/>
      <w:bookmarkEnd w:id="46"/>
    </w:p>
    <w:sectPr w:rsidR="002B0A39" w:rsidSect="006E40C8">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4797A" w14:textId="77777777" w:rsidR="00B957AD" w:rsidRDefault="00B957AD">
      <w:r>
        <w:separator/>
      </w:r>
    </w:p>
  </w:endnote>
  <w:endnote w:type="continuationSeparator" w:id="0">
    <w:p w14:paraId="58AAFD98" w14:textId="77777777" w:rsidR="00B957AD" w:rsidRDefault="00B9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0FB13" w14:textId="62E377FC" w:rsidR="006F638D" w:rsidRDefault="006E40C8" w:rsidP="00967AF7">
    <w:pPr>
      <w:pStyle w:val="Footer"/>
      <w:tabs>
        <w:tab w:val="clear" w:pos="4680"/>
        <w:tab w:val="clear" w:pos="9360"/>
        <w:tab w:val="left" w:pos="1848"/>
      </w:tabs>
      <w:jc w:val="center"/>
    </w:pPr>
    <w:r>
      <w:t xml:space="preserve">Page  </w:t>
    </w:r>
    <w:r>
      <w:fldChar w:fldCharType="begin"/>
    </w:r>
    <w:r>
      <w:instrText xml:space="preserve"> PAGE   \* MERGEFORMAT </w:instrText>
    </w:r>
    <w:r>
      <w:fldChar w:fldCharType="separate"/>
    </w:r>
    <w:r w:rsidR="004D45E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4BFAD" w14:textId="77777777" w:rsidR="00B957AD" w:rsidRDefault="00B957AD">
      <w:r>
        <w:separator/>
      </w:r>
    </w:p>
  </w:footnote>
  <w:footnote w:type="continuationSeparator" w:id="0">
    <w:p w14:paraId="66F50F6C" w14:textId="77777777" w:rsidR="00B957AD" w:rsidRDefault="00B9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19C8"/>
    <w:multiLevelType w:val="hybridMultilevel"/>
    <w:tmpl w:val="68029FB6"/>
    <w:lvl w:ilvl="0" w:tplc="388481E4">
      <w:start w:val="1"/>
      <w:numFmt w:val="decimal"/>
      <w:lvlText w:val="(%1)"/>
      <w:lvlJc w:val="left"/>
      <w:pPr>
        <w:ind w:left="720" w:hanging="360"/>
      </w:pPr>
      <w:rPr>
        <w:rFonts w:ascii="Calibri" w:hAnsi="Calibri" w:cs="Calibr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B09E7"/>
    <w:multiLevelType w:val="hybridMultilevel"/>
    <w:tmpl w:val="2C36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D7DD0"/>
    <w:multiLevelType w:val="hybridMultilevel"/>
    <w:tmpl w:val="D9FA05F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1A6C17"/>
    <w:multiLevelType w:val="hybridMultilevel"/>
    <w:tmpl w:val="1EB4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B1926"/>
    <w:multiLevelType w:val="hybridMultilevel"/>
    <w:tmpl w:val="1C8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02D75"/>
    <w:multiLevelType w:val="hybridMultilevel"/>
    <w:tmpl w:val="4DCCF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C26786C"/>
    <w:multiLevelType w:val="hybridMultilevel"/>
    <w:tmpl w:val="1D64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83091"/>
    <w:multiLevelType w:val="multilevel"/>
    <w:tmpl w:val="EA50C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3B3EB1"/>
    <w:multiLevelType w:val="hybridMultilevel"/>
    <w:tmpl w:val="0B48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F712C"/>
    <w:multiLevelType w:val="hybridMultilevel"/>
    <w:tmpl w:val="E12E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0C1DE0"/>
    <w:multiLevelType w:val="hybridMultilevel"/>
    <w:tmpl w:val="AD70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244AA"/>
    <w:multiLevelType w:val="hybridMultilevel"/>
    <w:tmpl w:val="C010DA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6"/>
  </w:num>
  <w:num w:numId="5">
    <w:abstractNumId w:val="5"/>
  </w:num>
  <w:num w:numId="6">
    <w:abstractNumId w:val="2"/>
  </w:num>
  <w:num w:numId="7">
    <w:abstractNumId w:val="0"/>
  </w:num>
  <w:num w:numId="8">
    <w:abstractNumId w:val="1"/>
  </w:num>
  <w:num w:numId="9">
    <w:abstractNumId w:val="3"/>
  </w:num>
  <w:num w:numId="10">
    <w:abstractNumId w:val="4"/>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C8"/>
    <w:rsid w:val="0000156B"/>
    <w:rsid w:val="00002EA0"/>
    <w:rsid w:val="00003861"/>
    <w:rsid w:val="00003BF3"/>
    <w:rsid w:val="0000520E"/>
    <w:rsid w:val="00012AA2"/>
    <w:rsid w:val="000138CA"/>
    <w:rsid w:val="00021B8E"/>
    <w:rsid w:val="00024C36"/>
    <w:rsid w:val="000272A0"/>
    <w:rsid w:val="000304FD"/>
    <w:rsid w:val="0003498A"/>
    <w:rsid w:val="0003610E"/>
    <w:rsid w:val="00042702"/>
    <w:rsid w:val="000451D7"/>
    <w:rsid w:val="0005013F"/>
    <w:rsid w:val="000514CA"/>
    <w:rsid w:val="00051CEC"/>
    <w:rsid w:val="000534D3"/>
    <w:rsid w:val="0005438C"/>
    <w:rsid w:val="00062976"/>
    <w:rsid w:val="00064EE7"/>
    <w:rsid w:val="00066434"/>
    <w:rsid w:val="000665AE"/>
    <w:rsid w:val="00071A32"/>
    <w:rsid w:val="00072C85"/>
    <w:rsid w:val="000730A8"/>
    <w:rsid w:val="00076778"/>
    <w:rsid w:val="000813F4"/>
    <w:rsid w:val="000859D4"/>
    <w:rsid w:val="00091047"/>
    <w:rsid w:val="000911DE"/>
    <w:rsid w:val="00094CEB"/>
    <w:rsid w:val="000A386C"/>
    <w:rsid w:val="000A6907"/>
    <w:rsid w:val="000B1271"/>
    <w:rsid w:val="000B1C66"/>
    <w:rsid w:val="000B2403"/>
    <w:rsid w:val="000B5018"/>
    <w:rsid w:val="000B7DBA"/>
    <w:rsid w:val="000C2C5C"/>
    <w:rsid w:val="000C40EA"/>
    <w:rsid w:val="000D578F"/>
    <w:rsid w:val="000E25DA"/>
    <w:rsid w:val="000E445B"/>
    <w:rsid w:val="000F213D"/>
    <w:rsid w:val="000F5EE9"/>
    <w:rsid w:val="001023F4"/>
    <w:rsid w:val="00104EFA"/>
    <w:rsid w:val="001060D6"/>
    <w:rsid w:val="0010618C"/>
    <w:rsid w:val="00107189"/>
    <w:rsid w:val="00114E75"/>
    <w:rsid w:val="00114ECB"/>
    <w:rsid w:val="00116174"/>
    <w:rsid w:val="00121DC5"/>
    <w:rsid w:val="001251A5"/>
    <w:rsid w:val="00135F93"/>
    <w:rsid w:val="00140DD1"/>
    <w:rsid w:val="00141556"/>
    <w:rsid w:val="001425E6"/>
    <w:rsid w:val="00144257"/>
    <w:rsid w:val="00144BF0"/>
    <w:rsid w:val="00152621"/>
    <w:rsid w:val="00160185"/>
    <w:rsid w:val="00166996"/>
    <w:rsid w:val="00172C7B"/>
    <w:rsid w:val="00174509"/>
    <w:rsid w:val="001810FA"/>
    <w:rsid w:val="00185635"/>
    <w:rsid w:val="001867A9"/>
    <w:rsid w:val="001919F1"/>
    <w:rsid w:val="001976C3"/>
    <w:rsid w:val="001B0117"/>
    <w:rsid w:val="001B4B9F"/>
    <w:rsid w:val="001B7CCB"/>
    <w:rsid w:val="001C26BD"/>
    <w:rsid w:val="001C41C6"/>
    <w:rsid w:val="001C41D5"/>
    <w:rsid w:val="001C6851"/>
    <w:rsid w:val="001D1354"/>
    <w:rsid w:val="001D18CE"/>
    <w:rsid w:val="001D38D0"/>
    <w:rsid w:val="001E1784"/>
    <w:rsid w:val="001E2FC1"/>
    <w:rsid w:val="001E57F0"/>
    <w:rsid w:val="001E5830"/>
    <w:rsid w:val="001F20ED"/>
    <w:rsid w:val="001F486C"/>
    <w:rsid w:val="001F6EC7"/>
    <w:rsid w:val="002028B1"/>
    <w:rsid w:val="00204FA9"/>
    <w:rsid w:val="00207B17"/>
    <w:rsid w:val="00214853"/>
    <w:rsid w:val="00220AB1"/>
    <w:rsid w:val="00233171"/>
    <w:rsid w:val="0023352D"/>
    <w:rsid w:val="0023424B"/>
    <w:rsid w:val="00237F3D"/>
    <w:rsid w:val="00241BBD"/>
    <w:rsid w:val="00243CAF"/>
    <w:rsid w:val="0024672E"/>
    <w:rsid w:val="002479EA"/>
    <w:rsid w:val="002540A1"/>
    <w:rsid w:val="002566CC"/>
    <w:rsid w:val="00264058"/>
    <w:rsid w:val="00267127"/>
    <w:rsid w:val="00271627"/>
    <w:rsid w:val="00271A75"/>
    <w:rsid w:val="00275D7A"/>
    <w:rsid w:val="00276CE0"/>
    <w:rsid w:val="002777CA"/>
    <w:rsid w:val="0028215C"/>
    <w:rsid w:val="00287CE4"/>
    <w:rsid w:val="00292F53"/>
    <w:rsid w:val="002A0D54"/>
    <w:rsid w:val="002A2D5B"/>
    <w:rsid w:val="002A7B18"/>
    <w:rsid w:val="002B01C3"/>
    <w:rsid w:val="002B0A39"/>
    <w:rsid w:val="002C7116"/>
    <w:rsid w:val="002D3333"/>
    <w:rsid w:val="002E5ABD"/>
    <w:rsid w:val="002E716C"/>
    <w:rsid w:val="002F3C50"/>
    <w:rsid w:val="002F489F"/>
    <w:rsid w:val="003027D0"/>
    <w:rsid w:val="0030426C"/>
    <w:rsid w:val="003049E3"/>
    <w:rsid w:val="00307867"/>
    <w:rsid w:val="00311FA5"/>
    <w:rsid w:val="003146BB"/>
    <w:rsid w:val="0031613A"/>
    <w:rsid w:val="003161E9"/>
    <w:rsid w:val="00316364"/>
    <w:rsid w:val="0032011D"/>
    <w:rsid w:val="00324030"/>
    <w:rsid w:val="00331D65"/>
    <w:rsid w:val="00336FF4"/>
    <w:rsid w:val="00337ED5"/>
    <w:rsid w:val="00346374"/>
    <w:rsid w:val="003466C6"/>
    <w:rsid w:val="0034747B"/>
    <w:rsid w:val="0035711A"/>
    <w:rsid w:val="003601C9"/>
    <w:rsid w:val="00370225"/>
    <w:rsid w:val="0037289C"/>
    <w:rsid w:val="003745B7"/>
    <w:rsid w:val="00374CDE"/>
    <w:rsid w:val="00377C66"/>
    <w:rsid w:val="003823A4"/>
    <w:rsid w:val="00385465"/>
    <w:rsid w:val="0039383B"/>
    <w:rsid w:val="003A0C40"/>
    <w:rsid w:val="003A1AE6"/>
    <w:rsid w:val="003B35DD"/>
    <w:rsid w:val="003B5391"/>
    <w:rsid w:val="003C09D6"/>
    <w:rsid w:val="003C5349"/>
    <w:rsid w:val="003C63AC"/>
    <w:rsid w:val="003D14E0"/>
    <w:rsid w:val="003D1AC8"/>
    <w:rsid w:val="003D47E3"/>
    <w:rsid w:val="003E607D"/>
    <w:rsid w:val="003F1B14"/>
    <w:rsid w:val="003F4202"/>
    <w:rsid w:val="003F5FCD"/>
    <w:rsid w:val="004106BF"/>
    <w:rsid w:val="00410702"/>
    <w:rsid w:val="0041139B"/>
    <w:rsid w:val="004125C4"/>
    <w:rsid w:val="00416436"/>
    <w:rsid w:val="0042086A"/>
    <w:rsid w:val="00437130"/>
    <w:rsid w:val="00437701"/>
    <w:rsid w:val="00441AB7"/>
    <w:rsid w:val="0044411D"/>
    <w:rsid w:val="00444521"/>
    <w:rsid w:val="004463E6"/>
    <w:rsid w:val="0045633A"/>
    <w:rsid w:val="004653F9"/>
    <w:rsid w:val="00470CE5"/>
    <w:rsid w:val="00472DA9"/>
    <w:rsid w:val="00475389"/>
    <w:rsid w:val="00475608"/>
    <w:rsid w:val="00476E67"/>
    <w:rsid w:val="004867EA"/>
    <w:rsid w:val="0049010A"/>
    <w:rsid w:val="00492331"/>
    <w:rsid w:val="00492413"/>
    <w:rsid w:val="0049473D"/>
    <w:rsid w:val="004A204D"/>
    <w:rsid w:val="004A4519"/>
    <w:rsid w:val="004A6CA0"/>
    <w:rsid w:val="004A7A1D"/>
    <w:rsid w:val="004B1695"/>
    <w:rsid w:val="004B46DE"/>
    <w:rsid w:val="004C1C95"/>
    <w:rsid w:val="004C244A"/>
    <w:rsid w:val="004C2C57"/>
    <w:rsid w:val="004D0226"/>
    <w:rsid w:val="004D2BA4"/>
    <w:rsid w:val="004D403E"/>
    <w:rsid w:val="004D4237"/>
    <w:rsid w:val="004D45E2"/>
    <w:rsid w:val="004E1661"/>
    <w:rsid w:val="004E1A5B"/>
    <w:rsid w:val="004E1D54"/>
    <w:rsid w:val="004E35D7"/>
    <w:rsid w:val="004E3DB4"/>
    <w:rsid w:val="004F5272"/>
    <w:rsid w:val="005007A2"/>
    <w:rsid w:val="00501D3B"/>
    <w:rsid w:val="00503622"/>
    <w:rsid w:val="005038B4"/>
    <w:rsid w:val="00505073"/>
    <w:rsid w:val="0050524F"/>
    <w:rsid w:val="00505340"/>
    <w:rsid w:val="00507172"/>
    <w:rsid w:val="00514BEA"/>
    <w:rsid w:val="00515B8D"/>
    <w:rsid w:val="005174A4"/>
    <w:rsid w:val="0052303B"/>
    <w:rsid w:val="005263E7"/>
    <w:rsid w:val="00527A4A"/>
    <w:rsid w:val="00531E8E"/>
    <w:rsid w:val="00533A6D"/>
    <w:rsid w:val="00535E6A"/>
    <w:rsid w:val="005460FF"/>
    <w:rsid w:val="0054757D"/>
    <w:rsid w:val="00550324"/>
    <w:rsid w:val="00551CAD"/>
    <w:rsid w:val="0056410F"/>
    <w:rsid w:val="005650F6"/>
    <w:rsid w:val="00571CB7"/>
    <w:rsid w:val="00575857"/>
    <w:rsid w:val="00577F6A"/>
    <w:rsid w:val="005832D6"/>
    <w:rsid w:val="00591DB3"/>
    <w:rsid w:val="0059622F"/>
    <w:rsid w:val="005A105D"/>
    <w:rsid w:val="005A33E3"/>
    <w:rsid w:val="005A59BA"/>
    <w:rsid w:val="005C11A1"/>
    <w:rsid w:val="005C4E59"/>
    <w:rsid w:val="005C6182"/>
    <w:rsid w:val="005D0436"/>
    <w:rsid w:val="005D13B2"/>
    <w:rsid w:val="005D3CF1"/>
    <w:rsid w:val="005D70FB"/>
    <w:rsid w:val="005E2BC5"/>
    <w:rsid w:val="005E5926"/>
    <w:rsid w:val="005E6781"/>
    <w:rsid w:val="005F1417"/>
    <w:rsid w:val="005F3727"/>
    <w:rsid w:val="005F5039"/>
    <w:rsid w:val="005F6115"/>
    <w:rsid w:val="00601899"/>
    <w:rsid w:val="006021E5"/>
    <w:rsid w:val="006032E3"/>
    <w:rsid w:val="00607550"/>
    <w:rsid w:val="006079B1"/>
    <w:rsid w:val="00610D0A"/>
    <w:rsid w:val="0061181B"/>
    <w:rsid w:val="00611E25"/>
    <w:rsid w:val="00620947"/>
    <w:rsid w:val="00622F01"/>
    <w:rsid w:val="00623760"/>
    <w:rsid w:val="006271EB"/>
    <w:rsid w:val="00630060"/>
    <w:rsid w:val="00637B0A"/>
    <w:rsid w:val="00647584"/>
    <w:rsid w:val="00647D43"/>
    <w:rsid w:val="006528B3"/>
    <w:rsid w:val="00653D29"/>
    <w:rsid w:val="0065619D"/>
    <w:rsid w:val="00664F6F"/>
    <w:rsid w:val="00666076"/>
    <w:rsid w:val="006674C0"/>
    <w:rsid w:val="006711A4"/>
    <w:rsid w:val="006741A0"/>
    <w:rsid w:val="00681145"/>
    <w:rsid w:val="006827AA"/>
    <w:rsid w:val="00682BDA"/>
    <w:rsid w:val="00682D70"/>
    <w:rsid w:val="00694562"/>
    <w:rsid w:val="006A4B94"/>
    <w:rsid w:val="006A6840"/>
    <w:rsid w:val="006B403C"/>
    <w:rsid w:val="006B5E8D"/>
    <w:rsid w:val="006B5F34"/>
    <w:rsid w:val="006C337A"/>
    <w:rsid w:val="006C7DE3"/>
    <w:rsid w:val="006D31DA"/>
    <w:rsid w:val="006D460C"/>
    <w:rsid w:val="006D76AF"/>
    <w:rsid w:val="006E0588"/>
    <w:rsid w:val="006E40C8"/>
    <w:rsid w:val="006E61D5"/>
    <w:rsid w:val="007022C0"/>
    <w:rsid w:val="00703DB8"/>
    <w:rsid w:val="00705EDB"/>
    <w:rsid w:val="00713697"/>
    <w:rsid w:val="00714889"/>
    <w:rsid w:val="00714D15"/>
    <w:rsid w:val="00722111"/>
    <w:rsid w:val="00724785"/>
    <w:rsid w:val="0073033D"/>
    <w:rsid w:val="00730B30"/>
    <w:rsid w:val="00734CC0"/>
    <w:rsid w:val="0074375B"/>
    <w:rsid w:val="00753BED"/>
    <w:rsid w:val="00761BDF"/>
    <w:rsid w:val="00772BD9"/>
    <w:rsid w:val="00774854"/>
    <w:rsid w:val="007756A4"/>
    <w:rsid w:val="00780DF3"/>
    <w:rsid w:val="00781CA1"/>
    <w:rsid w:val="00781D80"/>
    <w:rsid w:val="007827AE"/>
    <w:rsid w:val="0078564C"/>
    <w:rsid w:val="00786AF4"/>
    <w:rsid w:val="007923B8"/>
    <w:rsid w:val="00794430"/>
    <w:rsid w:val="007A19BC"/>
    <w:rsid w:val="007A4EF8"/>
    <w:rsid w:val="007B1450"/>
    <w:rsid w:val="007B4B79"/>
    <w:rsid w:val="007B59D0"/>
    <w:rsid w:val="007B7333"/>
    <w:rsid w:val="007C1FDA"/>
    <w:rsid w:val="007C31BF"/>
    <w:rsid w:val="007C354F"/>
    <w:rsid w:val="007C4A33"/>
    <w:rsid w:val="007C5AF0"/>
    <w:rsid w:val="007D106A"/>
    <w:rsid w:val="007D2778"/>
    <w:rsid w:val="007D3C2E"/>
    <w:rsid w:val="007D68DB"/>
    <w:rsid w:val="007E212E"/>
    <w:rsid w:val="007E6837"/>
    <w:rsid w:val="007F5C71"/>
    <w:rsid w:val="00804D66"/>
    <w:rsid w:val="00805798"/>
    <w:rsid w:val="00812B0A"/>
    <w:rsid w:val="00813E69"/>
    <w:rsid w:val="00817457"/>
    <w:rsid w:val="00820BCF"/>
    <w:rsid w:val="00825B1F"/>
    <w:rsid w:val="00831AA4"/>
    <w:rsid w:val="00843B09"/>
    <w:rsid w:val="00845F7F"/>
    <w:rsid w:val="00851894"/>
    <w:rsid w:val="00864C5F"/>
    <w:rsid w:val="00865A57"/>
    <w:rsid w:val="008675A5"/>
    <w:rsid w:val="00871F4D"/>
    <w:rsid w:val="00873CBA"/>
    <w:rsid w:val="00874182"/>
    <w:rsid w:val="0088082B"/>
    <w:rsid w:val="008826BB"/>
    <w:rsid w:val="00884DDE"/>
    <w:rsid w:val="00891529"/>
    <w:rsid w:val="00893737"/>
    <w:rsid w:val="008A028A"/>
    <w:rsid w:val="008A18EA"/>
    <w:rsid w:val="008A448B"/>
    <w:rsid w:val="008A7E6E"/>
    <w:rsid w:val="008B20C6"/>
    <w:rsid w:val="008B300F"/>
    <w:rsid w:val="008B4E77"/>
    <w:rsid w:val="008C34AB"/>
    <w:rsid w:val="008C473D"/>
    <w:rsid w:val="008D1036"/>
    <w:rsid w:val="008D3145"/>
    <w:rsid w:val="008D70B8"/>
    <w:rsid w:val="008D7EFC"/>
    <w:rsid w:val="008E29A0"/>
    <w:rsid w:val="008E574B"/>
    <w:rsid w:val="008F7FF3"/>
    <w:rsid w:val="009010F2"/>
    <w:rsid w:val="00906F32"/>
    <w:rsid w:val="00912751"/>
    <w:rsid w:val="009136F4"/>
    <w:rsid w:val="00914A98"/>
    <w:rsid w:val="00923B82"/>
    <w:rsid w:val="009333C4"/>
    <w:rsid w:val="00934EBD"/>
    <w:rsid w:val="009359AA"/>
    <w:rsid w:val="009418FD"/>
    <w:rsid w:val="00946B5A"/>
    <w:rsid w:val="009471FC"/>
    <w:rsid w:val="00952C67"/>
    <w:rsid w:val="0095357A"/>
    <w:rsid w:val="00954A02"/>
    <w:rsid w:val="00956758"/>
    <w:rsid w:val="00960731"/>
    <w:rsid w:val="0096163F"/>
    <w:rsid w:val="0096784C"/>
    <w:rsid w:val="00967AE9"/>
    <w:rsid w:val="0097123E"/>
    <w:rsid w:val="00981A85"/>
    <w:rsid w:val="00987382"/>
    <w:rsid w:val="009878C8"/>
    <w:rsid w:val="009912CE"/>
    <w:rsid w:val="00992E62"/>
    <w:rsid w:val="00993865"/>
    <w:rsid w:val="009966A9"/>
    <w:rsid w:val="009A3032"/>
    <w:rsid w:val="009A3AE8"/>
    <w:rsid w:val="009A6919"/>
    <w:rsid w:val="009B2D74"/>
    <w:rsid w:val="009B32E2"/>
    <w:rsid w:val="009B6F75"/>
    <w:rsid w:val="009C617B"/>
    <w:rsid w:val="009C704C"/>
    <w:rsid w:val="009D08B0"/>
    <w:rsid w:val="009D67A8"/>
    <w:rsid w:val="009D7842"/>
    <w:rsid w:val="009D7CB1"/>
    <w:rsid w:val="009E08A2"/>
    <w:rsid w:val="009E2930"/>
    <w:rsid w:val="009E334E"/>
    <w:rsid w:val="009E39E8"/>
    <w:rsid w:val="009E4B58"/>
    <w:rsid w:val="00A0376A"/>
    <w:rsid w:val="00A03981"/>
    <w:rsid w:val="00A04227"/>
    <w:rsid w:val="00A072BC"/>
    <w:rsid w:val="00A108CB"/>
    <w:rsid w:val="00A12BDC"/>
    <w:rsid w:val="00A16CF8"/>
    <w:rsid w:val="00A20C2B"/>
    <w:rsid w:val="00A21905"/>
    <w:rsid w:val="00A221A9"/>
    <w:rsid w:val="00A22C9B"/>
    <w:rsid w:val="00A3515A"/>
    <w:rsid w:val="00A3618E"/>
    <w:rsid w:val="00A41006"/>
    <w:rsid w:val="00A42619"/>
    <w:rsid w:val="00A432FB"/>
    <w:rsid w:val="00A45B13"/>
    <w:rsid w:val="00A47565"/>
    <w:rsid w:val="00A50051"/>
    <w:rsid w:val="00A52AA8"/>
    <w:rsid w:val="00A563EA"/>
    <w:rsid w:val="00A56623"/>
    <w:rsid w:val="00A56B5C"/>
    <w:rsid w:val="00A617BF"/>
    <w:rsid w:val="00A642D1"/>
    <w:rsid w:val="00A65B8A"/>
    <w:rsid w:val="00A66122"/>
    <w:rsid w:val="00A727A0"/>
    <w:rsid w:val="00A8638C"/>
    <w:rsid w:val="00A91523"/>
    <w:rsid w:val="00A94CDA"/>
    <w:rsid w:val="00A9677E"/>
    <w:rsid w:val="00A96B22"/>
    <w:rsid w:val="00AA5FC1"/>
    <w:rsid w:val="00AB160B"/>
    <w:rsid w:val="00AB27F5"/>
    <w:rsid w:val="00AC08E2"/>
    <w:rsid w:val="00AC7905"/>
    <w:rsid w:val="00AD56E4"/>
    <w:rsid w:val="00AD577F"/>
    <w:rsid w:val="00AE30D5"/>
    <w:rsid w:val="00AF4055"/>
    <w:rsid w:val="00AF493F"/>
    <w:rsid w:val="00AF4EF6"/>
    <w:rsid w:val="00AF5A82"/>
    <w:rsid w:val="00B10742"/>
    <w:rsid w:val="00B10AC8"/>
    <w:rsid w:val="00B1191A"/>
    <w:rsid w:val="00B160FF"/>
    <w:rsid w:val="00B17671"/>
    <w:rsid w:val="00B20629"/>
    <w:rsid w:val="00B2341A"/>
    <w:rsid w:val="00B26EBB"/>
    <w:rsid w:val="00B270FB"/>
    <w:rsid w:val="00B331D8"/>
    <w:rsid w:val="00B35F1D"/>
    <w:rsid w:val="00B473AF"/>
    <w:rsid w:val="00B50382"/>
    <w:rsid w:val="00B5179F"/>
    <w:rsid w:val="00B528C9"/>
    <w:rsid w:val="00B52B62"/>
    <w:rsid w:val="00B54559"/>
    <w:rsid w:val="00B56CC4"/>
    <w:rsid w:val="00B66D5E"/>
    <w:rsid w:val="00B750A9"/>
    <w:rsid w:val="00B7696F"/>
    <w:rsid w:val="00B76DB2"/>
    <w:rsid w:val="00B77069"/>
    <w:rsid w:val="00B86F64"/>
    <w:rsid w:val="00B92662"/>
    <w:rsid w:val="00B957AD"/>
    <w:rsid w:val="00B979FF"/>
    <w:rsid w:val="00BA2A95"/>
    <w:rsid w:val="00BA5407"/>
    <w:rsid w:val="00BA6436"/>
    <w:rsid w:val="00BB3BE7"/>
    <w:rsid w:val="00BB7D25"/>
    <w:rsid w:val="00BC6546"/>
    <w:rsid w:val="00BD1916"/>
    <w:rsid w:val="00BD1F99"/>
    <w:rsid w:val="00BD4AB7"/>
    <w:rsid w:val="00BD6E19"/>
    <w:rsid w:val="00BD77A8"/>
    <w:rsid w:val="00BE21FD"/>
    <w:rsid w:val="00BE233A"/>
    <w:rsid w:val="00BF1FB2"/>
    <w:rsid w:val="00BF384E"/>
    <w:rsid w:val="00BF72FE"/>
    <w:rsid w:val="00C10589"/>
    <w:rsid w:val="00C11971"/>
    <w:rsid w:val="00C1450F"/>
    <w:rsid w:val="00C20219"/>
    <w:rsid w:val="00C30A3F"/>
    <w:rsid w:val="00C35477"/>
    <w:rsid w:val="00C41A11"/>
    <w:rsid w:val="00C44595"/>
    <w:rsid w:val="00C52B4A"/>
    <w:rsid w:val="00C565A3"/>
    <w:rsid w:val="00C6036F"/>
    <w:rsid w:val="00C7123C"/>
    <w:rsid w:val="00C7256D"/>
    <w:rsid w:val="00C7627F"/>
    <w:rsid w:val="00C76340"/>
    <w:rsid w:val="00C768C0"/>
    <w:rsid w:val="00C80135"/>
    <w:rsid w:val="00C81767"/>
    <w:rsid w:val="00C8560F"/>
    <w:rsid w:val="00C85D9E"/>
    <w:rsid w:val="00C90D63"/>
    <w:rsid w:val="00C94222"/>
    <w:rsid w:val="00C94241"/>
    <w:rsid w:val="00CA0B6D"/>
    <w:rsid w:val="00CA1072"/>
    <w:rsid w:val="00CA11E2"/>
    <w:rsid w:val="00CA1C5E"/>
    <w:rsid w:val="00CA1C63"/>
    <w:rsid w:val="00CA2594"/>
    <w:rsid w:val="00CA25BE"/>
    <w:rsid w:val="00CA3ABE"/>
    <w:rsid w:val="00CA7199"/>
    <w:rsid w:val="00CA73DC"/>
    <w:rsid w:val="00CA7B25"/>
    <w:rsid w:val="00CB38E1"/>
    <w:rsid w:val="00CE05AC"/>
    <w:rsid w:val="00CE2DAD"/>
    <w:rsid w:val="00CF0817"/>
    <w:rsid w:val="00CF2C7C"/>
    <w:rsid w:val="00D11264"/>
    <w:rsid w:val="00D1170F"/>
    <w:rsid w:val="00D15AD4"/>
    <w:rsid w:val="00D1797A"/>
    <w:rsid w:val="00D22957"/>
    <w:rsid w:val="00D248EA"/>
    <w:rsid w:val="00D25DFC"/>
    <w:rsid w:val="00D272D6"/>
    <w:rsid w:val="00D35442"/>
    <w:rsid w:val="00D37FF9"/>
    <w:rsid w:val="00D41A33"/>
    <w:rsid w:val="00D4259B"/>
    <w:rsid w:val="00D50BC1"/>
    <w:rsid w:val="00D52852"/>
    <w:rsid w:val="00D54043"/>
    <w:rsid w:val="00D54BC2"/>
    <w:rsid w:val="00D57ACD"/>
    <w:rsid w:val="00D60BB4"/>
    <w:rsid w:val="00D65AD1"/>
    <w:rsid w:val="00D70BC3"/>
    <w:rsid w:val="00D73504"/>
    <w:rsid w:val="00D75846"/>
    <w:rsid w:val="00D76752"/>
    <w:rsid w:val="00D777B8"/>
    <w:rsid w:val="00D829D0"/>
    <w:rsid w:val="00D85702"/>
    <w:rsid w:val="00D919B5"/>
    <w:rsid w:val="00D91DFB"/>
    <w:rsid w:val="00DA072E"/>
    <w:rsid w:val="00DB0FA9"/>
    <w:rsid w:val="00DB15F5"/>
    <w:rsid w:val="00DB2C56"/>
    <w:rsid w:val="00DB4829"/>
    <w:rsid w:val="00DB5FFC"/>
    <w:rsid w:val="00DB79EE"/>
    <w:rsid w:val="00DC6CB7"/>
    <w:rsid w:val="00DC7881"/>
    <w:rsid w:val="00DD2935"/>
    <w:rsid w:val="00DE00A7"/>
    <w:rsid w:val="00DE0E66"/>
    <w:rsid w:val="00DE117C"/>
    <w:rsid w:val="00DE6A44"/>
    <w:rsid w:val="00DF0199"/>
    <w:rsid w:val="00DF2E57"/>
    <w:rsid w:val="00DF35AB"/>
    <w:rsid w:val="00DF4D1E"/>
    <w:rsid w:val="00DF4EAC"/>
    <w:rsid w:val="00DF726C"/>
    <w:rsid w:val="00E0080D"/>
    <w:rsid w:val="00E012F7"/>
    <w:rsid w:val="00E02D4E"/>
    <w:rsid w:val="00E066D3"/>
    <w:rsid w:val="00E13653"/>
    <w:rsid w:val="00E16679"/>
    <w:rsid w:val="00E208B6"/>
    <w:rsid w:val="00E2135F"/>
    <w:rsid w:val="00E22D79"/>
    <w:rsid w:val="00E31909"/>
    <w:rsid w:val="00E3280D"/>
    <w:rsid w:val="00E414C2"/>
    <w:rsid w:val="00E42791"/>
    <w:rsid w:val="00E42C04"/>
    <w:rsid w:val="00E4518A"/>
    <w:rsid w:val="00E50A98"/>
    <w:rsid w:val="00E549E8"/>
    <w:rsid w:val="00E60B1B"/>
    <w:rsid w:val="00E624F4"/>
    <w:rsid w:val="00E63EF4"/>
    <w:rsid w:val="00E667E5"/>
    <w:rsid w:val="00E67FA1"/>
    <w:rsid w:val="00E722E2"/>
    <w:rsid w:val="00E7299F"/>
    <w:rsid w:val="00E74949"/>
    <w:rsid w:val="00E762C9"/>
    <w:rsid w:val="00E877B6"/>
    <w:rsid w:val="00E91535"/>
    <w:rsid w:val="00E920E9"/>
    <w:rsid w:val="00E972F8"/>
    <w:rsid w:val="00EA1873"/>
    <w:rsid w:val="00EA1DE4"/>
    <w:rsid w:val="00EA5346"/>
    <w:rsid w:val="00EA5BF0"/>
    <w:rsid w:val="00EB0436"/>
    <w:rsid w:val="00EB1141"/>
    <w:rsid w:val="00EB13A4"/>
    <w:rsid w:val="00EB3265"/>
    <w:rsid w:val="00EC1A76"/>
    <w:rsid w:val="00EC3B1D"/>
    <w:rsid w:val="00ED04C7"/>
    <w:rsid w:val="00ED1F19"/>
    <w:rsid w:val="00ED2650"/>
    <w:rsid w:val="00ED2B78"/>
    <w:rsid w:val="00ED5266"/>
    <w:rsid w:val="00ED643F"/>
    <w:rsid w:val="00ED64A2"/>
    <w:rsid w:val="00ED6A09"/>
    <w:rsid w:val="00EE4772"/>
    <w:rsid w:val="00EE5063"/>
    <w:rsid w:val="00EE67F7"/>
    <w:rsid w:val="00EF2397"/>
    <w:rsid w:val="00EF45DF"/>
    <w:rsid w:val="00EF4A7B"/>
    <w:rsid w:val="00F00C92"/>
    <w:rsid w:val="00F015CF"/>
    <w:rsid w:val="00F02E45"/>
    <w:rsid w:val="00F2014B"/>
    <w:rsid w:val="00F30873"/>
    <w:rsid w:val="00F321DA"/>
    <w:rsid w:val="00F344CA"/>
    <w:rsid w:val="00F345DC"/>
    <w:rsid w:val="00F37403"/>
    <w:rsid w:val="00F3745C"/>
    <w:rsid w:val="00F479BD"/>
    <w:rsid w:val="00F5379B"/>
    <w:rsid w:val="00F577C7"/>
    <w:rsid w:val="00F61874"/>
    <w:rsid w:val="00F619DC"/>
    <w:rsid w:val="00F62C09"/>
    <w:rsid w:val="00F65A11"/>
    <w:rsid w:val="00F663D7"/>
    <w:rsid w:val="00F66D1F"/>
    <w:rsid w:val="00F7206A"/>
    <w:rsid w:val="00F74B77"/>
    <w:rsid w:val="00F76D0B"/>
    <w:rsid w:val="00F805F0"/>
    <w:rsid w:val="00F80D57"/>
    <w:rsid w:val="00F8211F"/>
    <w:rsid w:val="00F83D56"/>
    <w:rsid w:val="00F84C28"/>
    <w:rsid w:val="00F85700"/>
    <w:rsid w:val="00F871E9"/>
    <w:rsid w:val="00F9126C"/>
    <w:rsid w:val="00F95FA1"/>
    <w:rsid w:val="00F970B2"/>
    <w:rsid w:val="00FA1434"/>
    <w:rsid w:val="00FA2AD5"/>
    <w:rsid w:val="00FA65B9"/>
    <w:rsid w:val="00FA70F4"/>
    <w:rsid w:val="00FB0C63"/>
    <w:rsid w:val="00FB2EB7"/>
    <w:rsid w:val="00FC3D20"/>
    <w:rsid w:val="00FC7E21"/>
    <w:rsid w:val="00FD0576"/>
    <w:rsid w:val="00FD05CF"/>
    <w:rsid w:val="00FD20EB"/>
    <w:rsid w:val="00FE11BB"/>
    <w:rsid w:val="00FE14D8"/>
    <w:rsid w:val="00FE2516"/>
    <w:rsid w:val="00FE2E9B"/>
    <w:rsid w:val="00FF6174"/>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D0BA"/>
  <w15:docId w15:val="{40545D70-E1EE-554C-99B5-C04E51FB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C8"/>
    <w:rPr>
      <w:rFonts w:ascii="Times New Roman" w:eastAsia="Times New Roman" w:hAnsi="Times New Roman" w:cs="Times New Roman"/>
    </w:rPr>
  </w:style>
  <w:style w:type="paragraph" w:styleId="Heading1">
    <w:name w:val="heading 1"/>
    <w:basedOn w:val="Normal"/>
    <w:next w:val="Normal"/>
    <w:link w:val="Heading1Char"/>
    <w:uiPriority w:val="9"/>
    <w:qFormat/>
    <w:rsid w:val="006E40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351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40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0C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6E40C8"/>
    <w:pPr>
      <w:tabs>
        <w:tab w:val="center" w:pos="4680"/>
        <w:tab w:val="right" w:pos="9360"/>
      </w:tabs>
    </w:pPr>
  </w:style>
  <w:style w:type="character" w:customStyle="1" w:styleId="HeaderChar">
    <w:name w:val="Header Char"/>
    <w:basedOn w:val="DefaultParagraphFont"/>
    <w:link w:val="Header"/>
    <w:uiPriority w:val="99"/>
    <w:rsid w:val="006E40C8"/>
    <w:rPr>
      <w:rFonts w:ascii="Times New Roman" w:eastAsia="Times New Roman" w:hAnsi="Times New Roman" w:cs="Times New Roman"/>
    </w:rPr>
  </w:style>
  <w:style w:type="paragraph" w:styleId="Footer">
    <w:name w:val="footer"/>
    <w:basedOn w:val="Normal"/>
    <w:link w:val="FooterChar"/>
    <w:uiPriority w:val="99"/>
    <w:unhideWhenUsed/>
    <w:rsid w:val="006E40C8"/>
    <w:pPr>
      <w:tabs>
        <w:tab w:val="center" w:pos="4680"/>
        <w:tab w:val="right" w:pos="9360"/>
      </w:tabs>
    </w:pPr>
  </w:style>
  <w:style w:type="character" w:customStyle="1" w:styleId="FooterChar">
    <w:name w:val="Footer Char"/>
    <w:basedOn w:val="DefaultParagraphFont"/>
    <w:link w:val="Footer"/>
    <w:uiPriority w:val="99"/>
    <w:rsid w:val="006E40C8"/>
    <w:rPr>
      <w:rFonts w:ascii="Times New Roman" w:eastAsia="Times New Roman" w:hAnsi="Times New Roman" w:cs="Times New Roman"/>
    </w:rPr>
  </w:style>
  <w:style w:type="table" w:styleId="TableGrid">
    <w:name w:val="Table Grid"/>
    <w:basedOn w:val="TableNormal"/>
    <w:uiPriority w:val="39"/>
    <w:rsid w:val="006E40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0C8"/>
    <w:rPr>
      <w:color w:val="0563C1" w:themeColor="hyperlink"/>
      <w:u w:val="single"/>
    </w:rPr>
  </w:style>
  <w:style w:type="paragraph" w:styleId="NoSpacing">
    <w:name w:val="No Spacing"/>
    <w:uiPriority w:val="1"/>
    <w:qFormat/>
    <w:rsid w:val="006E40C8"/>
    <w:rPr>
      <w:sz w:val="22"/>
      <w:szCs w:val="22"/>
    </w:rPr>
  </w:style>
  <w:style w:type="paragraph" w:styleId="BalloonText">
    <w:name w:val="Balloon Text"/>
    <w:basedOn w:val="Normal"/>
    <w:link w:val="BalloonTextChar"/>
    <w:uiPriority w:val="99"/>
    <w:semiHidden/>
    <w:unhideWhenUsed/>
    <w:rsid w:val="00A35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15A"/>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3515A"/>
    <w:rPr>
      <w:rFonts w:asciiTheme="majorHAnsi" w:eastAsiaTheme="majorEastAsia" w:hAnsiTheme="majorHAnsi" w:cstheme="majorBidi"/>
      <w:color w:val="2F5496" w:themeColor="accent1" w:themeShade="BF"/>
      <w:sz w:val="26"/>
      <w:szCs w:val="26"/>
    </w:rPr>
  </w:style>
  <w:style w:type="paragraph" w:styleId="ListParagraph">
    <w:name w:val="List Paragraph"/>
    <w:aliases w:val="Figure Caption,Scriptoria bullet points,List Paragraph 1,Citation List,Bullets,Evidence on Demand bullet points,Dot pt,F5 List Paragraph,List Paragraph Char Char Char,Indicator Text,Numbered Para 1,Colorful List - Accent 11,Bullet Points"/>
    <w:basedOn w:val="Normal"/>
    <w:link w:val="ListParagraphChar"/>
    <w:uiPriority w:val="34"/>
    <w:qFormat/>
    <w:rsid w:val="0073033D"/>
    <w:pPr>
      <w:ind w:left="720"/>
      <w:contextualSpacing/>
    </w:pPr>
  </w:style>
  <w:style w:type="character" w:customStyle="1" w:styleId="ListParagraphChar">
    <w:name w:val="List Paragraph Char"/>
    <w:aliases w:val="Figure Caption Char,Scriptoria bullet points Char,List Paragraph 1 Char,Citation List Char,Bullets Char,Evidence on Demand bullet points Char,Dot pt Char,F5 List Paragraph Char,List Paragraph Char Char Char Char,Indicator Text Char"/>
    <w:link w:val="ListParagraph"/>
    <w:uiPriority w:val="34"/>
    <w:locked/>
    <w:rsid w:val="00CA73DC"/>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C44595"/>
    <w:rPr>
      <w:color w:val="605E5C"/>
      <w:shd w:val="clear" w:color="auto" w:fill="E1DFDD"/>
    </w:rPr>
  </w:style>
  <w:style w:type="character" w:styleId="FollowedHyperlink">
    <w:name w:val="FollowedHyperlink"/>
    <w:basedOn w:val="DefaultParagraphFont"/>
    <w:uiPriority w:val="99"/>
    <w:semiHidden/>
    <w:unhideWhenUsed/>
    <w:rsid w:val="00781D80"/>
    <w:rPr>
      <w:color w:val="954F72" w:themeColor="followedHyperlink"/>
      <w:u w:val="single"/>
    </w:rPr>
  </w:style>
  <w:style w:type="character" w:styleId="CommentReference">
    <w:name w:val="annotation reference"/>
    <w:basedOn w:val="DefaultParagraphFont"/>
    <w:uiPriority w:val="99"/>
    <w:semiHidden/>
    <w:unhideWhenUsed/>
    <w:rsid w:val="006021E5"/>
    <w:rPr>
      <w:sz w:val="16"/>
      <w:szCs w:val="16"/>
    </w:rPr>
  </w:style>
  <w:style w:type="paragraph" w:styleId="CommentText">
    <w:name w:val="annotation text"/>
    <w:basedOn w:val="Normal"/>
    <w:link w:val="CommentTextChar"/>
    <w:uiPriority w:val="99"/>
    <w:semiHidden/>
    <w:unhideWhenUsed/>
    <w:rsid w:val="006021E5"/>
    <w:rPr>
      <w:sz w:val="20"/>
      <w:szCs w:val="20"/>
    </w:rPr>
  </w:style>
  <w:style w:type="character" w:customStyle="1" w:styleId="CommentTextChar">
    <w:name w:val="Comment Text Char"/>
    <w:basedOn w:val="DefaultParagraphFont"/>
    <w:link w:val="CommentText"/>
    <w:uiPriority w:val="99"/>
    <w:semiHidden/>
    <w:rsid w:val="006021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21E5"/>
    <w:rPr>
      <w:b/>
      <w:bCs/>
    </w:rPr>
  </w:style>
  <w:style w:type="character" w:customStyle="1" w:styleId="CommentSubjectChar">
    <w:name w:val="Comment Subject Char"/>
    <w:basedOn w:val="CommentTextChar"/>
    <w:link w:val="CommentSubject"/>
    <w:uiPriority w:val="99"/>
    <w:semiHidden/>
    <w:rsid w:val="006021E5"/>
    <w:rPr>
      <w:rFonts w:ascii="Times New Roman" w:eastAsia="Times New Roman" w:hAnsi="Times New Roman" w:cs="Times New Roman"/>
      <w:b/>
      <w:bCs/>
      <w:sz w:val="20"/>
      <w:szCs w:val="20"/>
    </w:rPr>
  </w:style>
  <w:style w:type="paragraph" w:styleId="Revision">
    <w:name w:val="Revision"/>
    <w:hidden/>
    <w:uiPriority w:val="99"/>
    <w:semiHidden/>
    <w:rsid w:val="00703DB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4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epsilon.slu.se/16153/7/mukangango_m_190517.pdf" TargetMode="External"/><Relationship Id="rId18" Type="http://schemas.openxmlformats.org/officeDocument/2006/relationships/hyperlink" Target="https://mel.cgiar.org/reporting/report/id/6933/del_id/19917" TargetMode="External"/><Relationship Id="rId26" Type="http://schemas.openxmlformats.org/officeDocument/2006/relationships/hyperlink" Target="https://dx.doi.org/20.500.11766/9512" TargetMode="External"/><Relationship Id="rId39" Type="http://schemas.openxmlformats.org/officeDocument/2006/relationships/hyperlink" Target="https://maps.csita.cz/" TargetMode="External"/><Relationship Id="rId21" Type="http://schemas.openxmlformats.org/officeDocument/2006/relationships/hyperlink" Target="https://mel.cgiar.org/reporting/report/id/6938/del_id/15091" TargetMode="External"/><Relationship Id="rId34" Type="http://schemas.openxmlformats.org/officeDocument/2006/relationships/hyperlink" Target="https://www.cgiar.org/wp/wp-content/uploads/2018/10/CGIAR-2017-Performance-Report-ANNEXES.pdf" TargetMode="External"/><Relationship Id="rId42" Type="http://schemas.openxmlformats.org/officeDocument/2006/relationships/hyperlink" Target="https://maps.csita.cz/" TargetMode="External"/><Relationship Id="rId47"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07/s10457-019-00455-8" TargetMode="External"/><Relationship Id="rId29" Type="http://schemas.openxmlformats.org/officeDocument/2006/relationships/hyperlink" Target="https://hdl.handle.net/20.500.11766/95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7/S0014479719000280" TargetMode="External"/><Relationship Id="rId24" Type="http://schemas.openxmlformats.org/officeDocument/2006/relationships/hyperlink" Target="https://hdl.handle.net/20.500.11766/8901" TargetMode="External"/><Relationship Id="rId32" Type="http://schemas.openxmlformats.org/officeDocument/2006/relationships/hyperlink" Target="http://oar.icrisat.org/11246/" TargetMode="External"/><Relationship Id="rId37" Type="http://schemas.openxmlformats.org/officeDocument/2006/relationships/hyperlink" Target="https://bscmsc.pps.wur.nl/assessment-potential-future-sustain-ability-smallholder-farming-old-cotton-basin-mali" TargetMode="External"/><Relationship Id="rId40" Type="http://schemas.openxmlformats.org/officeDocument/2006/relationships/hyperlink" Target="https://www.icrisat.org/simulating-postrainy-sorghum-yield-response-to-on-station-n-management-in-india/" TargetMode="External"/><Relationship Id="rId45" Type="http://schemas.openxmlformats.org/officeDocument/2006/relationships/hyperlink" Target="https://bscmsc.pps.wur.nl/assessment-potential-future-sustain-ability-smallholder-farming-old-cotton-basin-mali" TargetMode="External"/><Relationship Id="rId5" Type="http://schemas.openxmlformats.org/officeDocument/2006/relationships/footnotes" Target="footnotes.xml"/><Relationship Id="rId15" Type="http://schemas.openxmlformats.org/officeDocument/2006/relationships/hyperlink" Target="https://doi.org/10.1007/s10457-019-00455-8" TargetMode="External"/><Relationship Id="rId23" Type="http://schemas.openxmlformats.org/officeDocument/2006/relationships/hyperlink" Target="https://hdl.handle.net/20.500.11766/8815" TargetMode="External"/><Relationship Id="rId28" Type="http://schemas.openxmlformats.org/officeDocument/2006/relationships/hyperlink" Target="https://mel.cgiar.org/reporting/download/report_file_id/13677" TargetMode="External"/><Relationship Id="rId36" Type="http://schemas.openxmlformats.org/officeDocument/2006/relationships/hyperlink" Target="http://oar.icrisat.org/11246/" TargetMode="External"/><Relationship Id="rId10" Type="http://schemas.openxmlformats.org/officeDocument/2006/relationships/hyperlink" Target="https://doi.org/10.1080/14735903.2019.1609166" TargetMode="External"/><Relationship Id="rId19" Type="http://schemas.openxmlformats.org/officeDocument/2006/relationships/hyperlink" Target="https://mel.cgiar.org/reporting/report/type/crp/id/6959/del_id/19893" TargetMode="External"/><Relationship Id="rId31" Type="http://schemas.openxmlformats.org/officeDocument/2006/relationships/hyperlink" Target="https://mel.cgiar.org/reporting/report/id/7380/del_id/15062" TargetMode="External"/><Relationship Id="rId44" Type="http://schemas.openxmlformats.org/officeDocument/2006/relationships/hyperlink" Target="http://oar.icrisat.org/11246/" TargetMode="External"/><Relationship Id="rId4" Type="http://schemas.openxmlformats.org/officeDocument/2006/relationships/webSettings" Target="webSettings.xml"/><Relationship Id="rId9" Type="http://schemas.openxmlformats.org/officeDocument/2006/relationships/hyperlink" Target="https://mel.cgiar.org/reporting/report/id/6933/del_id/19917" TargetMode="External"/><Relationship Id="rId14" Type="http://schemas.openxmlformats.org/officeDocument/2006/relationships/hyperlink" Target="https://pub.epsilon.slu.se/16153/7/mukangango_m_190517.pdf" TargetMode="External"/><Relationship Id="rId22" Type="http://schemas.openxmlformats.org/officeDocument/2006/relationships/hyperlink" Target="https://mel.cgiar.org/reporting/report/id/7621/del_id/15092" TargetMode="External"/><Relationship Id="rId27" Type="http://schemas.openxmlformats.org/officeDocument/2006/relationships/hyperlink" Target="https://mel.cgiar.org/reporting/download/report_file_id/13676" TargetMode="External"/><Relationship Id="rId30" Type="http://schemas.openxmlformats.org/officeDocument/2006/relationships/hyperlink" Target="https://hdl.handle.net/20.500.11766/9551" TargetMode="External"/><Relationship Id="rId35" Type="http://schemas.openxmlformats.org/officeDocument/2006/relationships/hyperlink" Target="https://drive.google.com/file/d/1GYLsseeZOOXF9zXNtpUtE1xeh2gx3Vw2/view" TargetMode="External"/><Relationship Id="rId43" Type="http://schemas.openxmlformats.org/officeDocument/2006/relationships/hyperlink" Target="https://www.icrisat.org/identifying-climate-smart-sorghum-lines-for-mali/" TargetMode="External"/><Relationship Id="rId8" Type="http://schemas.openxmlformats.org/officeDocument/2006/relationships/hyperlink" Target="https://mel.cgiar.org/reporting/report/id/6969/del_id/14401" TargetMode="External"/><Relationship Id="rId3" Type="http://schemas.openxmlformats.org/officeDocument/2006/relationships/settings" Target="settings.xml"/><Relationship Id="rId12" Type="http://schemas.openxmlformats.org/officeDocument/2006/relationships/hyperlink" Target="https://pub.epsilon.slu.se/16308/7/muoni_t_190903.pdf" TargetMode="External"/><Relationship Id="rId17" Type="http://schemas.openxmlformats.org/officeDocument/2006/relationships/hyperlink" Target="https://mel.cgiar.org/reporting/report/id/6969/del_id/14401" TargetMode="External"/><Relationship Id="rId25" Type="http://schemas.openxmlformats.org/officeDocument/2006/relationships/hyperlink" Target="https://hdl.handle.net/20.500.11766/9551" TargetMode="External"/><Relationship Id="rId33" Type="http://schemas.openxmlformats.org/officeDocument/2006/relationships/hyperlink" Target="https://bscmsc.pps.wur.nl/assessment-potential-future-sustain-ability-smallholder-farming-old-cotton-basin-mali" TargetMode="External"/><Relationship Id="rId38" Type="http://schemas.openxmlformats.org/officeDocument/2006/relationships/hyperlink" Target="http://dx.doi.org/10.1071/FP13355" TargetMode="External"/><Relationship Id="rId46" Type="http://schemas.openxmlformats.org/officeDocument/2006/relationships/fontTable" Target="fontTable.xml"/><Relationship Id="rId20" Type="http://schemas.openxmlformats.org/officeDocument/2006/relationships/hyperlink" Target="https://mel.cgiar.org/reporting/outputsreport/id/7620" TargetMode="External"/><Relationship Id="rId41" Type="http://schemas.openxmlformats.org/officeDocument/2006/relationships/hyperlink" Target="http://dx.doi.org/10.1071/FP13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4194</Words>
  <Characters>23910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Bonaiuti, Enrico (ICARDA)</dc:creator>
  <cp:lastModifiedBy>Bayala, Jules (ICRAF)</cp:lastModifiedBy>
  <cp:revision>2</cp:revision>
  <dcterms:created xsi:type="dcterms:W3CDTF">2020-03-02T20:13:00Z</dcterms:created>
  <dcterms:modified xsi:type="dcterms:W3CDTF">2020-03-02T20:13:00Z</dcterms:modified>
</cp:coreProperties>
</file>