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04B76" w14:textId="77777777" w:rsidR="000B29FF" w:rsidRPr="00A32106" w:rsidRDefault="000B29FF" w:rsidP="000B29FF">
      <w:pPr>
        <w:rPr>
          <w:rFonts w:asciiTheme="majorHAnsi" w:hAnsiTheme="majorHAnsi" w:cs="Arial"/>
          <w:b/>
          <w:noProof/>
          <w:color w:val="0070C0"/>
          <w:sz w:val="28"/>
          <w:szCs w:val="28"/>
        </w:rPr>
      </w:pPr>
      <w:bookmarkStart w:id="0" w:name="_Toc531191887"/>
      <w:bookmarkStart w:id="1" w:name="_Toc1543073"/>
      <w:bookmarkStart w:id="2" w:name="_Toc535554991"/>
      <w:r w:rsidRPr="00A32106">
        <w:rPr>
          <w:rFonts w:asciiTheme="majorHAnsi" w:hAnsiTheme="majorHAnsi" w:cs="Arial"/>
          <w:b/>
          <w:noProof/>
          <w:color w:val="0070C0"/>
          <w:sz w:val="28"/>
          <w:szCs w:val="28"/>
        </w:rPr>
        <w:t>Flagship Annual Report - 201</w:t>
      </w:r>
      <w:r>
        <w:rPr>
          <w:rFonts w:asciiTheme="majorHAnsi" w:hAnsiTheme="majorHAnsi" w:cs="Arial"/>
          <w:b/>
          <w:noProof/>
          <w:color w:val="0070C0"/>
          <w:sz w:val="28"/>
          <w:szCs w:val="28"/>
        </w:rPr>
        <w:t>9</w:t>
      </w:r>
    </w:p>
    <w:p w14:paraId="184BC157" w14:textId="77777777" w:rsidR="000B29FF" w:rsidRPr="00A32106" w:rsidRDefault="000B29FF" w:rsidP="000B29FF">
      <w:pPr>
        <w:rPr>
          <w:rFonts w:asciiTheme="majorHAnsi" w:hAnsiTheme="majorHAnsi" w:cs="Arial"/>
          <w:b/>
          <w:noProof/>
          <w:color w:val="0070C0"/>
          <w:sz w:val="28"/>
          <w:szCs w:val="28"/>
        </w:rPr>
      </w:pPr>
      <w:r w:rsidRPr="00A32106">
        <w:rPr>
          <w:rFonts w:asciiTheme="majorHAnsi" w:hAnsiTheme="majorHAnsi" w:cs="Arial"/>
          <w:b/>
          <w:noProof/>
          <w:color w:val="0070C0"/>
          <w:sz w:val="28"/>
          <w:szCs w:val="28"/>
        </w:rPr>
        <w:t>FP1 – Priority Setting &amp; Impact Acceleration</w:t>
      </w:r>
    </w:p>
    <w:p w14:paraId="2D44E76B" w14:textId="77777777" w:rsidR="000B29FF" w:rsidRPr="00483B4E" w:rsidRDefault="000B29FF" w:rsidP="000B29FF">
      <w:pPr>
        <w:rPr>
          <w:color w:val="BFBFBF" w:themeColor="background1" w:themeShade="BF"/>
        </w:rPr>
      </w:pPr>
      <w:r w:rsidRPr="00483B4E">
        <w:rPr>
          <w:color w:val="BFBFBF" w:themeColor="background1" w:themeShade="BF"/>
        </w:rPr>
        <w:t xml:space="preserve"> </w:t>
      </w:r>
    </w:p>
    <w:p w14:paraId="476ED248" w14:textId="77777777" w:rsidR="000B29FF" w:rsidRPr="00A32106" w:rsidRDefault="000B29FF" w:rsidP="000B29FF">
      <w:pPr>
        <w:jc w:val="both"/>
        <w:rPr>
          <w:rFonts w:asciiTheme="majorHAnsi" w:hAnsiTheme="majorHAnsi" w:cstheme="majorHAnsi"/>
          <w:color w:val="0070C0"/>
          <w:sz w:val="28"/>
          <w:szCs w:val="28"/>
        </w:rPr>
      </w:pPr>
      <w:r w:rsidRPr="00A32106">
        <w:rPr>
          <w:rFonts w:asciiTheme="majorHAnsi" w:hAnsiTheme="majorHAnsi" w:cstheme="majorHAnsi"/>
          <w:color w:val="0070C0"/>
          <w:sz w:val="28"/>
          <w:szCs w:val="28"/>
        </w:rPr>
        <w:t xml:space="preserve">Progress towards outcomes </w:t>
      </w:r>
    </w:p>
    <w:bookmarkEnd w:id="0"/>
    <w:bookmarkEnd w:id="1"/>
    <w:p w14:paraId="0185E8E7" w14:textId="77777777" w:rsidR="000B29FF" w:rsidRDefault="000B29FF" w:rsidP="000B29FF">
      <w:pPr>
        <w:jc w:val="both"/>
      </w:pPr>
      <w:r>
        <w:t xml:space="preserve">A major goal of </w:t>
      </w:r>
      <w:r w:rsidRPr="00630CAF">
        <w:t xml:space="preserve">Flagship 1 </w:t>
      </w:r>
      <w:r>
        <w:t>is</w:t>
      </w:r>
      <w:r w:rsidRPr="00630CAF">
        <w:t xml:space="preserve"> to enhance the relevance and impacts of GLDC research through improved targeting and priority-setting, learning from adoption and impact studies, strategic gender research, and supporting scaling efforts. </w:t>
      </w:r>
      <w:bookmarkStart w:id="3" w:name="_Hlk2246556"/>
      <w:r>
        <w:t xml:space="preserve">Achieving greater </w:t>
      </w:r>
      <w:r w:rsidRPr="00630CAF">
        <w:t xml:space="preserve">impacts of GLDC research </w:t>
      </w:r>
      <w:r>
        <w:t>in Sub-Saharan Africa and South Asia requires</w:t>
      </w:r>
      <w:r w:rsidRPr="00630CAF">
        <w:t xml:space="preserve"> research that responds </w:t>
      </w:r>
      <w:r>
        <w:t xml:space="preserve">to the challenges facing smallholder farmers and their families </w:t>
      </w:r>
      <w:proofErr w:type="gramStart"/>
      <w:r>
        <w:t>and also</w:t>
      </w:r>
      <w:proofErr w:type="gramEnd"/>
      <w:r>
        <w:t xml:space="preserve"> addresses the national and regional priorities. </w:t>
      </w:r>
    </w:p>
    <w:p w14:paraId="0944AA1B" w14:textId="77777777" w:rsidR="000B29FF" w:rsidRDefault="000B29FF" w:rsidP="000B29FF">
      <w:pPr>
        <w:jc w:val="both"/>
      </w:pPr>
    </w:p>
    <w:p w14:paraId="2A3E8C87" w14:textId="77777777" w:rsidR="000B29FF" w:rsidRDefault="000B29FF" w:rsidP="000B29FF">
      <w:pPr>
        <w:jc w:val="both"/>
      </w:pPr>
      <w:r>
        <w:t xml:space="preserve">An ex-ante nutritional impact assessment of GLDC research and technology options was carried out as part of the </w:t>
      </w:r>
      <w:r w:rsidRPr="009F7586">
        <w:rPr>
          <w:rFonts w:cstheme="minorHAnsi"/>
          <w:lang w:val="en-GB"/>
        </w:rPr>
        <w:t>multidimensional ex-ante evaluation of GLDC research and technology options for identifying research priorities based on potential economic, poverty, and nutrition security impacts.</w:t>
      </w:r>
      <w:r>
        <w:rPr>
          <w:rFonts w:cstheme="minorHAnsi"/>
          <w:lang w:val="en-GB"/>
        </w:rPr>
        <w:t xml:space="preserve"> </w:t>
      </w:r>
      <w:r w:rsidRPr="009F7586">
        <w:rPr>
          <w:rFonts w:cstheme="minorHAnsi"/>
          <w:lang w:val="en-GB"/>
        </w:rPr>
        <w:t xml:space="preserve">This body of work aims at sharpening the focus of GLDC research on lines of research that have the greatest potential for adoption and impacts on smallholder farmers in the dryland areas of Sub-Saharan Africa and South Asia. </w:t>
      </w:r>
      <w:r>
        <w:rPr>
          <w:rFonts w:cstheme="minorHAnsi"/>
          <w:lang w:val="en-GB"/>
        </w:rPr>
        <w:t xml:space="preserve">The ex-ante evaluation led to a ranking of </w:t>
      </w:r>
      <w:r>
        <w:t>GLDC technologies based on their potential impact on nutrition security.</w:t>
      </w:r>
      <w:r w:rsidRPr="00C018B4">
        <w:t xml:space="preserve"> Key findings suggest that in </w:t>
      </w:r>
      <w:r>
        <w:t>W</w:t>
      </w:r>
      <w:r w:rsidRPr="00C018B4">
        <w:t xml:space="preserve">est and </w:t>
      </w:r>
      <w:r>
        <w:t>C</w:t>
      </w:r>
      <w:r w:rsidRPr="00C018B4">
        <w:t>entral Africa, the technologies with the largest positive impacts on nutrition security are early-maturing sorghum varieties and hybrids with tolerance to drought; early-maturing</w:t>
      </w:r>
      <w:r>
        <w:t xml:space="preserve"> and</w:t>
      </w:r>
      <w:r w:rsidRPr="00C018B4">
        <w:t xml:space="preserve"> drought-tolerant pearl millet hybrid</w:t>
      </w:r>
      <w:r>
        <w:t>s</w:t>
      </w:r>
      <w:r w:rsidRPr="00C018B4">
        <w:t xml:space="preserve"> with high and stable yields; and</w:t>
      </w:r>
      <w:r>
        <w:t xml:space="preserve"> i</w:t>
      </w:r>
      <w:r w:rsidRPr="00A72B71">
        <w:t>nsect-resistant</w:t>
      </w:r>
      <w:r>
        <w:t xml:space="preserve"> and drought tolerant cowpea varieties</w:t>
      </w:r>
      <w:r w:rsidRPr="00A72B71">
        <w:t xml:space="preserve"> </w:t>
      </w:r>
      <w:r>
        <w:t>including</w:t>
      </w:r>
      <w:r w:rsidRPr="00A72B71">
        <w:t xml:space="preserve"> integrated </w:t>
      </w:r>
      <w:r>
        <w:t xml:space="preserve">crop and </w:t>
      </w:r>
      <w:r w:rsidRPr="00A72B71">
        <w:t>pest management</w:t>
      </w:r>
      <w:r w:rsidRPr="00C018B4">
        <w:t xml:space="preserve">. In </w:t>
      </w:r>
      <w:r>
        <w:t>E</w:t>
      </w:r>
      <w:r w:rsidRPr="00C018B4">
        <w:t xml:space="preserve">astern and </w:t>
      </w:r>
      <w:r>
        <w:t>S</w:t>
      </w:r>
      <w:r w:rsidRPr="00C018B4">
        <w:t xml:space="preserve">outhern Africa, the most promising </w:t>
      </w:r>
      <w:r>
        <w:t xml:space="preserve">GLDC </w:t>
      </w:r>
      <w:r w:rsidRPr="00C018B4">
        <w:t>technologies are Intercropping</w:t>
      </w:r>
      <w:r>
        <w:t>-</w:t>
      </w:r>
      <w:r w:rsidRPr="00C018B4">
        <w:t>compatible</w:t>
      </w:r>
      <w:r>
        <w:t xml:space="preserve"> </w:t>
      </w:r>
      <w:r w:rsidRPr="00C018B4">
        <w:t xml:space="preserve">pigeon pea varieties </w:t>
      </w:r>
      <w:r>
        <w:t>including</w:t>
      </w:r>
      <w:r w:rsidRPr="00C018B4">
        <w:t xml:space="preserve"> integrated crop management options; </w:t>
      </w:r>
      <w:proofErr w:type="gramStart"/>
      <w:r w:rsidRPr="00C018B4">
        <w:t>early-maturing</w:t>
      </w:r>
      <w:proofErr w:type="gramEnd"/>
      <w:r w:rsidRPr="00C018B4">
        <w:t xml:space="preserve"> sorghum varieties and hybrids with tolerance to drought; and </w:t>
      </w:r>
      <w:r>
        <w:t>striga-resistant sorghum varieties and hybrids</w:t>
      </w:r>
      <w:r w:rsidRPr="00C018B4">
        <w:t>. In South Asia, the most promising technologies are chickpea varieties resistant to Fusarium wilt and root rots; Botrytis gray mold-resistant chickpea varieties; and herbicide-tolerant chickpea varieties to control weeds.</w:t>
      </w:r>
      <w:r>
        <w:t xml:space="preserve"> A synthesis of the three separate evaluations will allow a multi-criteria prioritization of GLDC research and technology option based on expected economic impacts as well as poverty reduction and nutrition security. The final prioritization based on their multi-dimensional impacts is expected to guide breeding priorities for GLDC crops.</w:t>
      </w:r>
    </w:p>
    <w:p w14:paraId="3CA1D74B" w14:textId="77777777" w:rsidR="000B29FF" w:rsidRDefault="000B29FF" w:rsidP="000B29FF">
      <w:pPr>
        <w:jc w:val="both"/>
        <w:rPr>
          <w:rFonts w:cstheme="minorHAnsi"/>
          <w:lang w:val="en-GB"/>
        </w:rPr>
      </w:pPr>
    </w:p>
    <w:p w14:paraId="27CD3BF1" w14:textId="77777777" w:rsidR="000B29FF" w:rsidRDefault="000B29FF" w:rsidP="000B29FF">
      <w:pPr>
        <w:jc w:val="both"/>
      </w:pPr>
      <w:r w:rsidRPr="009F7586">
        <w:rPr>
          <w:rFonts w:cstheme="minorHAnsi"/>
          <w:lang w:val="en-GB"/>
        </w:rPr>
        <w:t xml:space="preserve">Priority setting </w:t>
      </w:r>
      <w:r>
        <w:rPr>
          <w:rFonts w:cstheme="minorHAnsi"/>
          <w:lang w:val="en-GB"/>
        </w:rPr>
        <w:t>is</w:t>
      </w:r>
      <w:r w:rsidRPr="009F7586">
        <w:rPr>
          <w:rFonts w:cstheme="minorHAnsi"/>
          <w:lang w:val="en-GB"/>
        </w:rPr>
        <w:t xml:space="preserve"> also informed by the work on prioritization of varietal attributes and product profiles that define the most important end-user preferred traits for GLDC crops to be targeted by the breeder</w:t>
      </w:r>
      <w:r>
        <w:rPr>
          <w:rFonts w:cstheme="minorHAnsi"/>
          <w:lang w:val="en-GB"/>
        </w:rPr>
        <w:t>s</w:t>
      </w:r>
      <w:r w:rsidRPr="009F7586">
        <w:rPr>
          <w:rFonts w:cstheme="minorHAnsi"/>
          <w:lang w:val="en-GB"/>
        </w:rPr>
        <w:t xml:space="preserve">. </w:t>
      </w:r>
      <w:r w:rsidRPr="00630CAF">
        <w:t xml:space="preserve">Understanding the drivers of adoption and identifying producer and end-user preferences is crucial for ensuring alignment between end-user demand and breeding targets and facilitate scaling of GLDC innovations. </w:t>
      </w:r>
      <w:r>
        <w:rPr>
          <w:rFonts w:cstheme="minorHAnsi"/>
          <w:lang w:val="en-GB"/>
        </w:rPr>
        <w:t xml:space="preserve">In India, a </w:t>
      </w:r>
      <w:r w:rsidRPr="00122AFD">
        <w:rPr>
          <w:rFonts w:cstheme="minorHAnsi"/>
          <w:lang w:val="en-GB"/>
        </w:rPr>
        <w:t xml:space="preserve">stakeholder consultation was conducted to identify the key market traits for sorghum to be part of the product profile. </w:t>
      </w:r>
      <w:r>
        <w:rPr>
          <w:rFonts w:cstheme="minorHAnsi"/>
          <w:lang w:val="en-GB"/>
        </w:rPr>
        <w:t xml:space="preserve">Preliminary results </w:t>
      </w:r>
      <w:r w:rsidRPr="00122AFD">
        <w:rPr>
          <w:rFonts w:cstheme="minorHAnsi"/>
          <w:lang w:val="en-GB"/>
        </w:rPr>
        <w:t xml:space="preserve">for rainy season sorghum </w:t>
      </w:r>
      <w:r>
        <w:rPr>
          <w:rFonts w:cstheme="minorHAnsi"/>
          <w:lang w:val="en-GB"/>
        </w:rPr>
        <w:t>showed that</w:t>
      </w:r>
      <w:r w:rsidRPr="00122AFD">
        <w:rPr>
          <w:rFonts w:cstheme="minorHAnsi"/>
          <w:lang w:val="en-GB"/>
        </w:rPr>
        <w:t xml:space="preserve"> the market</w:t>
      </w:r>
      <w:r>
        <w:rPr>
          <w:rFonts w:cstheme="minorHAnsi"/>
          <w:lang w:val="en-GB"/>
        </w:rPr>
        <w:t>-</w:t>
      </w:r>
      <w:r w:rsidRPr="00122AFD">
        <w:rPr>
          <w:rFonts w:cstheme="minorHAnsi"/>
          <w:lang w:val="en-GB"/>
        </w:rPr>
        <w:t>preferred or must</w:t>
      </w:r>
      <w:r>
        <w:rPr>
          <w:rFonts w:cstheme="minorHAnsi"/>
          <w:lang w:val="en-GB"/>
        </w:rPr>
        <w:t>-</w:t>
      </w:r>
      <w:r w:rsidRPr="00122AFD">
        <w:rPr>
          <w:rFonts w:cstheme="minorHAnsi"/>
          <w:lang w:val="en-GB"/>
        </w:rPr>
        <w:t xml:space="preserve">have traits are </w:t>
      </w:r>
      <w:r>
        <w:rPr>
          <w:rFonts w:cstheme="minorHAnsi"/>
          <w:lang w:val="en-GB"/>
        </w:rPr>
        <w:t>varieties</w:t>
      </w:r>
      <w:r w:rsidRPr="00122AFD">
        <w:rPr>
          <w:rFonts w:cstheme="minorHAnsi"/>
          <w:lang w:val="en-GB"/>
        </w:rPr>
        <w:t xml:space="preserve"> with white, larger globular, lustrous grains to attract good market price. Similarly, for kharif season sorghum</w:t>
      </w:r>
      <w:r>
        <w:rPr>
          <w:rFonts w:cstheme="minorHAnsi"/>
          <w:lang w:val="en-GB"/>
        </w:rPr>
        <w:t>,</w:t>
      </w:r>
      <w:r w:rsidRPr="00122AFD">
        <w:rPr>
          <w:rFonts w:cstheme="minorHAnsi"/>
          <w:lang w:val="en-GB"/>
        </w:rPr>
        <w:t xml:space="preserve"> the market or industrial preferred traits </w:t>
      </w:r>
      <w:r>
        <w:rPr>
          <w:rFonts w:cstheme="minorHAnsi"/>
          <w:lang w:val="en-GB"/>
        </w:rPr>
        <w:t>include</w:t>
      </w:r>
      <w:r w:rsidRPr="00122AFD">
        <w:rPr>
          <w:rFonts w:cstheme="minorHAnsi"/>
          <w:lang w:val="en-GB"/>
        </w:rPr>
        <w:t xml:space="preserve"> higher starch (&gt;68%)</w:t>
      </w:r>
      <w:r>
        <w:rPr>
          <w:rFonts w:cstheme="minorHAnsi"/>
          <w:lang w:val="en-GB"/>
        </w:rPr>
        <w:t>,</w:t>
      </w:r>
      <w:r w:rsidRPr="00122AFD">
        <w:rPr>
          <w:rFonts w:cstheme="minorHAnsi"/>
          <w:lang w:val="en-GB"/>
        </w:rPr>
        <w:t xml:space="preserve"> medium protein content (8-10%)</w:t>
      </w:r>
      <w:r>
        <w:rPr>
          <w:rFonts w:cstheme="minorHAnsi"/>
          <w:lang w:val="en-GB"/>
        </w:rPr>
        <w:t>,</w:t>
      </w:r>
      <w:r w:rsidRPr="00122AFD">
        <w:rPr>
          <w:rFonts w:cstheme="minorHAnsi"/>
          <w:lang w:val="en-GB"/>
        </w:rPr>
        <w:t xml:space="preserve"> and higher protein digestibility. </w:t>
      </w:r>
      <w:r>
        <w:rPr>
          <w:rFonts w:cstheme="minorHAnsi"/>
          <w:lang w:val="en-GB"/>
        </w:rPr>
        <w:t>The results were used</w:t>
      </w:r>
      <w:r w:rsidRPr="00122AFD">
        <w:rPr>
          <w:rFonts w:cstheme="minorHAnsi"/>
          <w:lang w:val="en-GB"/>
        </w:rPr>
        <w:t xml:space="preserve"> to develop the updated sorghum product profile for India. </w:t>
      </w:r>
      <w:r>
        <w:rPr>
          <w:rFonts w:cstheme="minorHAnsi"/>
          <w:lang w:val="en-GB"/>
        </w:rPr>
        <w:t>A</w:t>
      </w:r>
      <w:r w:rsidRPr="00611B80">
        <w:rPr>
          <w:rFonts w:cstheme="minorHAnsi"/>
          <w:lang w:val="en-GB"/>
        </w:rPr>
        <w:t xml:space="preserve"> choice experiment was conducted with consumers in Tanzania </w:t>
      </w:r>
      <w:r>
        <w:rPr>
          <w:rFonts w:cstheme="minorHAnsi"/>
          <w:lang w:val="en-GB"/>
        </w:rPr>
        <w:t xml:space="preserve">and </w:t>
      </w:r>
      <w:r w:rsidRPr="00611B80">
        <w:rPr>
          <w:rFonts w:cstheme="minorHAnsi"/>
          <w:lang w:val="en-GB"/>
        </w:rPr>
        <w:t>data analysis is underw</w:t>
      </w:r>
      <w:r>
        <w:rPr>
          <w:rFonts w:cstheme="minorHAnsi"/>
          <w:lang w:val="en-GB"/>
        </w:rPr>
        <w:t xml:space="preserve">ay </w:t>
      </w:r>
      <w:r w:rsidRPr="00611B80">
        <w:rPr>
          <w:rFonts w:cstheme="minorHAnsi"/>
          <w:lang w:val="en-GB"/>
        </w:rPr>
        <w:t>to identify</w:t>
      </w:r>
      <w:r>
        <w:rPr>
          <w:rFonts w:cstheme="minorHAnsi"/>
          <w:lang w:val="en-GB"/>
        </w:rPr>
        <w:t xml:space="preserve"> priority</w:t>
      </w:r>
      <w:r w:rsidRPr="00611B80">
        <w:rPr>
          <w:rFonts w:cstheme="minorHAnsi"/>
          <w:lang w:val="en-GB"/>
        </w:rPr>
        <w:t xml:space="preserve"> traits for </w:t>
      </w:r>
      <w:r>
        <w:rPr>
          <w:rFonts w:cstheme="minorHAnsi"/>
          <w:lang w:val="en-GB"/>
        </w:rPr>
        <w:t>g</w:t>
      </w:r>
      <w:r w:rsidRPr="00611B80">
        <w:rPr>
          <w:rFonts w:cstheme="minorHAnsi"/>
          <w:lang w:val="en-GB"/>
        </w:rPr>
        <w:t xml:space="preserve">roundnut and </w:t>
      </w:r>
      <w:r>
        <w:rPr>
          <w:rFonts w:cstheme="minorHAnsi"/>
          <w:lang w:val="en-GB"/>
        </w:rPr>
        <w:t>s</w:t>
      </w:r>
      <w:r w:rsidRPr="00611B80">
        <w:rPr>
          <w:rFonts w:cstheme="minorHAnsi"/>
          <w:lang w:val="en-GB"/>
        </w:rPr>
        <w:t xml:space="preserve">orghum </w:t>
      </w:r>
      <w:r>
        <w:rPr>
          <w:rFonts w:cstheme="minorHAnsi"/>
          <w:lang w:val="en-GB"/>
        </w:rPr>
        <w:t xml:space="preserve">and </w:t>
      </w:r>
      <w:r w:rsidRPr="00611B80">
        <w:rPr>
          <w:rFonts w:cstheme="minorHAnsi"/>
          <w:lang w:val="en-GB"/>
        </w:rPr>
        <w:t xml:space="preserve">to develop product profile for these crops </w:t>
      </w:r>
      <w:r>
        <w:rPr>
          <w:rFonts w:cstheme="minorHAnsi"/>
          <w:lang w:val="en-GB"/>
        </w:rPr>
        <w:t>as well as</w:t>
      </w:r>
      <w:r w:rsidRPr="00611B80">
        <w:rPr>
          <w:rFonts w:cstheme="minorHAnsi"/>
          <w:lang w:val="en-GB"/>
        </w:rPr>
        <w:t xml:space="preserve"> </w:t>
      </w:r>
      <w:r w:rsidRPr="00611B80">
        <w:rPr>
          <w:rFonts w:cstheme="minorHAnsi"/>
          <w:lang w:val="en-GB"/>
        </w:rPr>
        <w:lastRenderedPageBreak/>
        <w:t>customer profile</w:t>
      </w:r>
      <w:r>
        <w:rPr>
          <w:rFonts w:cstheme="minorHAnsi"/>
          <w:lang w:val="en-GB"/>
        </w:rPr>
        <w:t>s using</w:t>
      </w:r>
      <w:r w:rsidRPr="00611B80">
        <w:rPr>
          <w:rFonts w:cstheme="minorHAnsi"/>
          <w:lang w:val="en-GB"/>
        </w:rPr>
        <w:t xml:space="preserve"> latent class analysis. </w:t>
      </w:r>
      <w:r>
        <w:rPr>
          <w:rFonts w:cstheme="minorHAnsi"/>
          <w:lang w:val="en-GB"/>
        </w:rPr>
        <w:t xml:space="preserve">In Nigeria, an interview with cowpea traders was conducted as part of a larger study designed to assess end-user preferences of cowpea traits and to provide the evidence base to guide product profile development efforts. Preliminary results showed that </w:t>
      </w:r>
      <w:r>
        <w:t xml:space="preserve">consumers in northern Nigeria prefer white cowpea, whereas consumers in the south-south and south-east regions mainly prefer white speckled cowpea followed by white cowpea and those in the south-west region largely prefer brown cowpea followed by white cowpea. </w:t>
      </w:r>
    </w:p>
    <w:p w14:paraId="078146B3" w14:textId="77777777" w:rsidR="000B29FF" w:rsidRPr="009F7586" w:rsidRDefault="000B29FF" w:rsidP="000B29FF">
      <w:pPr>
        <w:jc w:val="both"/>
      </w:pPr>
    </w:p>
    <w:bookmarkEnd w:id="3"/>
    <w:p w14:paraId="0581F2B5" w14:textId="2A0CF1E4" w:rsidR="000B29FF" w:rsidRDefault="000B29FF" w:rsidP="000B29FF">
      <w:pPr>
        <w:jc w:val="both"/>
      </w:pPr>
      <w:r w:rsidRPr="00630CAF">
        <w:t xml:space="preserve">Flagship 1 conducts research aimed at enhancing and deepening our understanding of all aspects of end-user demand including consumer demand for GLDC food crops, technology demand by rural farming households, and an analysis of wider potential to change consumer behavior. </w:t>
      </w:r>
      <w:r>
        <w:t xml:space="preserve">This work </w:t>
      </w:r>
      <w:r w:rsidRPr="00723F21">
        <w:t xml:space="preserve">has focused on the drivers of </w:t>
      </w:r>
      <w:r>
        <w:t xml:space="preserve">technology adoption and </w:t>
      </w:r>
      <w:r w:rsidRPr="00723F21">
        <w:t>change within smallholder farmer context a</w:t>
      </w:r>
      <w:r>
        <w:t>nd</w:t>
      </w:r>
      <w:r w:rsidRPr="00723F21">
        <w:t xml:space="preserve"> specific consumer segments</w:t>
      </w:r>
      <w:r>
        <w:t xml:space="preserve"> and has delivered several outputs (</w:t>
      </w:r>
      <w:proofErr w:type="spellStart"/>
      <w:r>
        <w:t>Simtowe</w:t>
      </w:r>
      <w:proofErr w:type="spellEnd"/>
      <w:r>
        <w:t xml:space="preserve"> and Mausch, 2019; </w:t>
      </w:r>
      <w:proofErr w:type="spellStart"/>
      <w:r>
        <w:t>Gassner</w:t>
      </w:r>
      <w:proofErr w:type="spellEnd"/>
      <w:r>
        <w:t xml:space="preserve"> et al., 2019; Harris et al., 2019;</w:t>
      </w:r>
      <w:r w:rsidRPr="003F5DFF">
        <w:t xml:space="preserve"> </w:t>
      </w:r>
      <w:proofErr w:type="spellStart"/>
      <w:r>
        <w:t>Homann</w:t>
      </w:r>
      <w:proofErr w:type="spellEnd"/>
      <w:r>
        <w:t xml:space="preserve">-Kee </w:t>
      </w:r>
      <w:proofErr w:type="spellStart"/>
      <w:r>
        <w:t>Tui</w:t>
      </w:r>
      <w:proofErr w:type="spellEnd"/>
      <w:r>
        <w:t xml:space="preserve">, 2019; LaRue, 2019; </w:t>
      </w:r>
      <w:proofErr w:type="spellStart"/>
      <w:r>
        <w:t>Verkaart</w:t>
      </w:r>
      <w:proofErr w:type="spellEnd"/>
      <w:r>
        <w:t xml:space="preserve"> et al, 2019; Watson and Mausch, 2019). Lack of market access was found to be a major barrier to adoption of climate smart sorghum varieties in Tanzania where farmers with poor market access even abandoned sorghum production (</w:t>
      </w:r>
      <w:proofErr w:type="spellStart"/>
      <w:r>
        <w:t>Simtowe</w:t>
      </w:r>
      <w:proofErr w:type="spellEnd"/>
      <w:r>
        <w:t xml:space="preserve"> and Mausch, 2019). For chickpea in Ethiopia, on the other hand, g</w:t>
      </w:r>
      <w:r w:rsidRPr="00B6343B">
        <w:t xml:space="preserve">ood </w:t>
      </w:r>
      <w:r>
        <w:t xml:space="preserve">access to </w:t>
      </w:r>
      <w:r w:rsidRPr="00B6343B">
        <w:t xml:space="preserve">market and extension services </w:t>
      </w:r>
      <w:r>
        <w:t>led to a faster and higher adoption of improved varieties, with ado</w:t>
      </w:r>
      <w:r w:rsidRPr="00B6343B">
        <w:t>ption rate</w:t>
      </w:r>
      <w:r>
        <w:t>s</w:t>
      </w:r>
      <w:r w:rsidRPr="00B6343B">
        <w:t xml:space="preserve"> </w:t>
      </w:r>
      <w:r>
        <w:t xml:space="preserve">increasing </w:t>
      </w:r>
      <w:r w:rsidRPr="00B6343B">
        <w:t xml:space="preserve">from 30 to 80% </w:t>
      </w:r>
      <w:r>
        <w:t>in just seven years (</w:t>
      </w:r>
      <w:proofErr w:type="spellStart"/>
      <w:r>
        <w:t>Verkaart</w:t>
      </w:r>
      <w:proofErr w:type="spellEnd"/>
      <w:r>
        <w:t xml:space="preserve"> et al., 2019)</w:t>
      </w:r>
      <w:r w:rsidRPr="00B6343B">
        <w:t>.</w:t>
      </w:r>
      <w:r>
        <w:t xml:space="preserve"> In the area of drivers of change, it is argued that w</w:t>
      </w:r>
      <w:r w:rsidRPr="00B00A15">
        <w:t xml:space="preserve">hile technologies already exist that can </w:t>
      </w:r>
      <w:r>
        <w:t>achieve a three-fold or four-fold increase in</w:t>
      </w:r>
      <w:r w:rsidRPr="00B00A15">
        <w:t xml:space="preserve"> smallholder farmers’ yields, even under rainfed conditions, </w:t>
      </w:r>
      <w:proofErr w:type="spellStart"/>
      <w:r>
        <w:t>Gassner</w:t>
      </w:r>
      <w:proofErr w:type="spellEnd"/>
      <w:r>
        <w:t xml:space="preserve"> et al. (2019) showed that </w:t>
      </w:r>
      <w:r w:rsidRPr="00B00A15">
        <w:t>the small size of land available to them limits how much can be grown and the per capita income from agriculture</w:t>
      </w:r>
      <w:r>
        <w:t xml:space="preserve"> would be</w:t>
      </w:r>
      <w:r w:rsidRPr="00B00A15">
        <w:t xml:space="preserve"> insufficient to </w:t>
      </w:r>
      <w:r>
        <w:t xml:space="preserve">enable </w:t>
      </w:r>
      <w:r w:rsidRPr="00B00A15">
        <w:t xml:space="preserve">people to move </w:t>
      </w:r>
      <w:r>
        <w:t>out of poverty. In view of the</w:t>
      </w:r>
      <w:r w:rsidRPr="00B00A15">
        <w:t xml:space="preserve"> large differences between individual farming households themselves in terms of their investment incentives and capability to benefit from </w:t>
      </w:r>
      <w:r>
        <w:t xml:space="preserve">productivity-enhancing </w:t>
      </w:r>
      <w:r w:rsidRPr="00B00A15">
        <w:t>technologies</w:t>
      </w:r>
      <w:r>
        <w:t>, the findings point to the need</w:t>
      </w:r>
      <w:r w:rsidRPr="00B00A15">
        <w:t xml:space="preserve"> for more differentiated policies for agricultural development in Africa and suggest that policymakers should be much more aware of the heterogeneity of farms and target interventions accordingly. </w:t>
      </w:r>
    </w:p>
    <w:p w14:paraId="4DA88168" w14:textId="54795ADB" w:rsidR="006F479E" w:rsidRDefault="006F479E" w:rsidP="000B29FF">
      <w:pPr>
        <w:jc w:val="both"/>
      </w:pPr>
    </w:p>
    <w:p w14:paraId="06070D8A" w14:textId="337AEB2D" w:rsidR="002B7917" w:rsidRDefault="006F479E" w:rsidP="006F479E">
      <w:pPr>
        <w:jc w:val="both"/>
      </w:pPr>
      <w:r>
        <w:t xml:space="preserve">The strategic </w:t>
      </w:r>
      <w:r>
        <w:t xml:space="preserve">research on </w:t>
      </w:r>
      <w:r>
        <w:t xml:space="preserve">gender and youth </w:t>
      </w:r>
      <w:r w:rsidR="00633AA7">
        <w:t xml:space="preserve">focused on integrating </w:t>
      </w:r>
      <w:r w:rsidR="002B7917" w:rsidRPr="00633AA7">
        <w:t xml:space="preserve">gender and youth activities in </w:t>
      </w:r>
      <w:r w:rsidR="00633AA7">
        <w:t xml:space="preserve">four </w:t>
      </w:r>
      <w:r w:rsidR="002B7917" w:rsidRPr="00633AA7">
        <w:t xml:space="preserve">main thematic areas: </w:t>
      </w:r>
      <w:r w:rsidR="00633AA7">
        <w:t>g</w:t>
      </w:r>
      <w:r w:rsidR="002B7917" w:rsidRPr="00633AA7">
        <w:t xml:space="preserve">ender and </w:t>
      </w:r>
      <w:r w:rsidR="00633AA7">
        <w:t>b</w:t>
      </w:r>
      <w:r w:rsidR="002B7917" w:rsidRPr="00633AA7">
        <w:t xml:space="preserve">reeding; </w:t>
      </w:r>
      <w:r w:rsidR="00633AA7">
        <w:t>g</w:t>
      </w:r>
      <w:r w:rsidR="002B7917" w:rsidRPr="00633AA7">
        <w:t xml:space="preserve">ender </w:t>
      </w:r>
      <w:r w:rsidR="00633AA7">
        <w:t>d</w:t>
      </w:r>
      <w:r w:rsidR="002B7917" w:rsidRPr="00633AA7">
        <w:t xml:space="preserve">ynamics in seed value chains; </w:t>
      </w:r>
      <w:r w:rsidR="00633AA7">
        <w:t>s</w:t>
      </w:r>
      <w:r w:rsidR="002B7917" w:rsidRPr="00633AA7">
        <w:t>trategies for youth Integration</w:t>
      </w:r>
      <w:r w:rsidR="00633AA7">
        <w:t>;</w:t>
      </w:r>
      <w:r w:rsidR="002B7917" w:rsidRPr="00633AA7">
        <w:t xml:space="preserve"> and gendered impacts on asset ownership.</w:t>
      </w:r>
      <w:r w:rsidR="00633AA7">
        <w:t xml:space="preserve"> A</w:t>
      </w:r>
      <w:r w:rsidR="002B7917" w:rsidRPr="002B7917">
        <w:t xml:space="preserve"> framework was developed and tested for assessing gender integration in traits, preferences and breeding decisions in the sorghum breeding program in W</w:t>
      </w:r>
      <w:r w:rsidR="00633AA7">
        <w:t>est and Central Africa</w:t>
      </w:r>
      <w:r w:rsidR="002B7917" w:rsidRPr="002B7917">
        <w:t xml:space="preserve">. Social scientists and breeders attended a joint training on ‘Gender Responsive Breeding’ and together analyzed the social structures in varietal demands </w:t>
      </w:r>
      <w:r w:rsidR="00633AA7">
        <w:t xml:space="preserve">to generate </w:t>
      </w:r>
      <w:r w:rsidR="002B7917" w:rsidRPr="002B7917">
        <w:t xml:space="preserve">insights that contribute to the product profile development for GLDC priority crops in </w:t>
      </w:r>
      <w:r w:rsidR="00633AA7">
        <w:t>the region</w:t>
      </w:r>
      <w:r w:rsidR="002B7917" w:rsidRPr="002B7917">
        <w:t>.</w:t>
      </w:r>
      <w:r w:rsidR="00633AA7">
        <w:t xml:space="preserve"> Y</w:t>
      </w:r>
      <w:r w:rsidR="002B7917" w:rsidRPr="002B7917">
        <w:t xml:space="preserve">outh realities, aspirations, transitions and opportunities structures </w:t>
      </w:r>
      <w:r w:rsidR="00633AA7">
        <w:t xml:space="preserve">were studied </w:t>
      </w:r>
      <w:r w:rsidR="002B7917" w:rsidRPr="002B7917">
        <w:t>in Uganda, Ethiopia, Tanzania (through qualitative interviews) and youth engagements in seeds systems in Mali and northern Nigeria (through quantitative data collection among 600 young women and 600 young men in Mali and Nigeria). Gendered transition pathways that are unique for boys and girls have implications of access to productive resources and influence who can and can’t engage in farming in the drylands (</w:t>
      </w:r>
      <w:hyperlink r:id="rId7" w:history="1">
        <w:r w:rsidR="002B7917" w:rsidRPr="002B7917">
          <w:rPr>
            <w:rStyle w:val="Hyperlink"/>
          </w:rPr>
          <w:t>https://gender.cgiar.org/webinar-youth-dryland/</w:t>
        </w:r>
      </w:hyperlink>
      <w:r w:rsidR="002B7917" w:rsidRPr="002B7917">
        <w:t>).  While there is a blanket narrative that the ‘</w:t>
      </w:r>
      <w:r w:rsidR="002B7917" w:rsidRPr="002B7917">
        <w:rPr>
          <w:i/>
          <w:iCs/>
        </w:rPr>
        <w:t>youth are not interested in agriculture’</w:t>
      </w:r>
      <w:r w:rsidR="002B7917" w:rsidRPr="002B7917">
        <w:t xml:space="preserve"> evidence generated so far shows there is a category of youth who remain in agriculture; some because they chose to </w:t>
      </w:r>
      <w:r w:rsidR="002B7917" w:rsidRPr="002B7917">
        <w:lastRenderedPageBreak/>
        <w:t xml:space="preserve">and some because it’s the only option.  Models of engagement with the youth in the value chains will be tested in 2020 with projects aligned to the CRP-GLDC.  </w:t>
      </w:r>
    </w:p>
    <w:p w14:paraId="0DBE44FE" w14:textId="77777777" w:rsidR="002B7917" w:rsidRDefault="002B7917" w:rsidP="006F479E">
      <w:pPr>
        <w:jc w:val="both"/>
      </w:pPr>
    </w:p>
    <w:p w14:paraId="3505D5C9" w14:textId="77777777" w:rsidR="000B29FF" w:rsidRDefault="000B29FF" w:rsidP="000B29FF">
      <w:pPr>
        <w:jc w:val="both"/>
      </w:pPr>
      <w:r>
        <w:t>I</w:t>
      </w:r>
      <w:r w:rsidRPr="00630CAF">
        <w:t>den</w:t>
      </w:r>
      <w:r>
        <w:t xml:space="preserve">tifying </w:t>
      </w:r>
      <w:r w:rsidRPr="00630CAF">
        <w:t xml:space="preserve">the enabling conditions for successful scaling </w:t>
      </w:r>
      <w:r>
        <w:t xml:space="preserve">and assessing impacts of GLDC technologies is one of the major areas of research in Flagship 1. Regarding scaling, an idealized scaling framework was developed that encapsulates key elements considered important in promoting the large-scale adoption and, in turn, impacts of GLDC technologies. This framework was reviewed against four GLDC case study projects: HOPE, TL III, AVCD, and MISST. While the original objective was to provide recommendations to strengthen the scaling approaches employed by these projects as well as future scaling efforts, the framework will be expanded to make it more conducive for supporting and enhancing GLDC’s scaling approaches and impact. Regarding impact assessment, a stakeholder workshop was convened on 28-30 August 2019 in Nairobi to provide the GLDC program with a starting point for developing an impact evidencing strategy. The workshop developed an evidence framework based on seven critical nodes in GLDC’s implicit Theory of Change: (1) market and farmer demand; (2) delivery; (3) enabling environment; (4) adoption; (5) diets; (6) productivity and profits; and (7) natural resource management and resilience. These nodes constitute the evidence needs of the program. Using this framework, the workshop mapped the evidence available (completed, ongoing, and planned) for each of the nodes. The same evidence framework of seven nodes was used to identify 25 evidence gaps. </w:t>
      </w:r>
    </w:p>
    <w:p w14:paraId="3BE74541" w14:textId="77777777" w:rsidR="000B29FF" w:rsidRDefault="000B29FF" w:rsidP="000B29FF">
      <w:pPr>
        <w:jc w:val="both"/>
      </w:pPr>
    </w:p>
    <w:p w14:paraId="2678B680" w14:textId="5FEDAFE8" w:rsidR="00785218" w:rsidRDefault="000B29FF" w:rsidP="00B72967">
      <w:pPr>
        <w:keepNext/>
        <w:widowControl w:val="0"/>
        <w:jc w:val="both"/>
      </w:pPr>
      <w:r w:rsidRPr="00B24EC5">
        <w:t xml:space="preserve">A </w:t>
      </w:r>
      <w:r>
        <w:t xml:space="preserve">study conducted in Nigeria using a </w:t>
      </w:r>
      <w:r w:rsidRPr="00B24EC5">
        <w:t>nationally representative sample survey of over 1,500 cowpea producing households to assess the extent, determinants, and impacts of adoption of improved cowpea varieties</w:t>
      </w:r>
      <w:r>
        <w:t xml:space="preserve"> showed that</w:t>
      </w:r>
      <w:r w:rsidRPr="00B24EC5">
        <w:t xml:space="preserve"> </w:t>
      </w:r>
      <w:r>
        <w:t>o</w:t>
      </w:r>
      <w:r w:rsidRPr="00B24EC5">
        <w:t>ver 40% of the cowpea growers adopted improved varieties on over 1 million hectare</w:t>
      </w:r>
      <w:r>
        <w:t>s</w:t>
      </w:r>
      <w:r w:rsidRPr="00B24EC5">
        <w:t xml:space="preserve"> of land</w:t>
      </w:r>
      <w:r>
        <w:t xml:space="preserve"> and a</w:t>
      </w:r>
      <w:r w:rsidRPr="00B24EC5">
        <w:t xml:space="preserve">doption of </w:t>
      </w:r>
      <w:r>
        <w:t>these</w:t>
      </w:r>
      <w:r w:rsidRPr="00B24EC5">
        <w:t xml:space="preserve"> varieties was associated on average with a 26% increase in yields, 14% increase in production costs, and 61% increase in net returns per hectare</w:t>
      </w:r>
      <w:r>
        <w:t xml:space="preserve"> (Manda et al., 2019a)</w:t>
      </w:r>
      <w:r w:rsidRPr="00B24EC5">
        <w:t xml:space="preserve">. </w:t>
      </w:r>
      <w:r>
        <w:t>A</w:t>
      </w:r>
      <w:r w:rsidRPr="00B24EC5">
        <w:t>doption of improved cowpea varieties</w:t>
      </w:r>
      <w:r>
        <w:t xml:space="preserve"> also</w:t>
      </w:r>
      <w:r w:rsidRPr="00B24EC5">
        <w:t xml:space="preserve"> led to a 17 percentage-point increase in household income</w:t>
      </w:r>
      <w:r>
        <w:t xml:space="preserve">, </w:t>
      </w:r>
      <w:r w:rsidRPr="00B24EC5">
        <w:t>a 24 percentage-point increase in asset ownership</w:t>
      </w:r>
      <w:r>
        <w:t>, and a 5 percentage-point reduction in</w:t>
      </w:r>
      <w:r w:rsidRPr="00B24EC5">
        <w:t xml:space="preserve"> the incidence of poverty</w:t>
      </w:r>
      <w:r w:rsidR="00B72967" w:rsidRPr="00B72967">
        <w:t>, which is equivalent to 929,450 people lifted out of poverty due to adoption of improved varieties</w:t>
      </w:r>
      <w:r w:rsidR="00B72967">
        <w:t xml:space="preserve"> </w:t>
      </w:r>
      <w:r>
        <w:t>(Manda et al. 2019b)</w:t>
      </w:r>
      <w:r w:rsidRPr="00B24EC5">
        <w:t>.</w:t>
      </w:r>
      <w:r>
        <w:t xml:space="preserve"> </w:t>
      </w:r>
      <w:r w:rsidRPr="00AD5066">
        <w:t xml:space="preserve">A study conducted </w:t>
      </w:r>
      <w:r>
        <w:t>in Malawi using</w:t>
      </w:r>
      <w:r w:rsidRPr="00AD5066">
        <w:t xml:space="preserve"> a nationally representative sample of over 1200 soybean growing households showed that 34% the total soybean area was planted to improved varieties following the recommended agronomic practices (Tufa et al. 2019). The results from </w:t>
      </w:r>
      <w:r>
        <w:t xml:space="preserve">an </w:t>
      </w:r>
      <w:r w:rsidRPr="00AD5066">
        <w:t xml:space="preserve">endogenous switching regression model </w:t>
      </w:r>
      <w:r>
        <w:t>d</w:t>
      </w:r>
      <w:r w:rsidRPr="00AD5066">
        <w:t xml:space="preserve">emonstrated that adoption of improved soybean varieties and agronomic practices </w:t>
      </w:r>
      <w:r>
        <w:t>led to</w:t>
      </w:r>
      <w:r w:rsidRPr="00AD5066">
        <w:t xml:space="preserve"> an average of 61% yield gain and 53% net income gain for adopters. </w:t>
      </w:r>
      <w:r w:rsidR="00785218">
        <w:t>In Myanmar, an impact study showed that the cropped area under improved chickpea varieties has increased from 67% in 2001 to 98% in 2017 and the productivity gain due to adoption of improved chickpea varieties was estimated at 51% (</w:t>
      </w:r>
      <w:proofErr w:type="spellStart"/>
      <w:r w:rsidR="00785218">
        <w:t>Charyulu</w:t>
      </w:r>
      <w:proofErr w:type="spellEnd"/>
      <w:r w:rsidR="00785218">
        <w:t xml:space="preserve"> et al. 2019). The estimated welfare benefits accrued due to adoption of improved varieties was $153 million, with the chickpea producer gaining greater share of the welfare benefits relative to the chickpea consumers.  </w:t>
      </w:r>
    </w:p>
    <w:p w14:paraId="75102C73" w14:textId="77777777" w:rsidR="00785218" w:rsidRDefault="00785218" w:rsidP="000B29FF">
      <w:pPr>
        <w:jc w:val="both"/>
      </w:pPr>
    </w:p>
    <w:p w14:paraId="153FB524" w14:textId="77777777" w:rsidR="000B29FF" w:rsidRPr="00A32106" w:rsidRDefault="000B29FF" w:rsidP="000B29FF">
      <w:pPr>
        <w:jc w:val="both"/>
        <w:rPr>
          <w:rFonts w:asciiTheme="majorHAnsi" w:hAnsiTheme="majorHAnsi" w:cstheme="majorHAnsi"/>
          <w:color w:val="0070C0"/>
          <w:sz w:val="28"/>
          <w:szCs w:val="28"/>
        </w:rPr>
      </w:pPr>
      <w:r w:rsidRPr="00A32106">
        <w:rPr>
          <w:rFonts w:asciiTheme="majorHAnsi" w:hAnsiTheme="majorHAnsi" w:cstheme="majorHAnsi"/>
          <w:color w:val="0070C0"/>
          <w:sz w:val="28"/>
          <w:szCs w:val="28"/>
        </w:rPr>
        <w:t>Variance from Planned Program for this year</w:t>
      </w:r>
    </w:p>
    <w:p w14:paraId="4814D4D5" w14:textId="77777777" w:rsidR="000B29FF" w:rsidRDefault="000B29FF" w:rsidP="000B29FF">
      <w:pPr>
        <w:jc w:val="both"/>
      </w:pPr>
      <w:r>
        <w:t xml:space="preserve">There were no research areas that have been significantly expanded or that have been dropped or significantly cut back. </w:t>
      </w:r>
    </w:p>
    <w:p w14:paraId="6235D667" w14:textId="77777777" w:rsidR="000B29FF" w:rsidRDefault="000B29FF" w:rsidP="000B29FF">
      <w:pPr>
        <w:jc w:val="both"/>
      </w:pPr>
    </w:p>
    <w:p w14:paraId="466F2441" w14:textId="77777777" w:rsidR="000B29FF" w:rsidRPr="00A32106" w:rsidRDefault="000B29FF" w:rsidP="000B29FF">
      <w:pPr>
        <w:jc w:val="both"/>
        <w:rPr>
          <w:rFonts w:asciiTheme="majorHAnsi" w:hAnsiTheme="majorHAnsi" w:cstheme="majorHAnsi"/>
          <w:color w:val="0070C0"/>
          <w:sz w:val="28"/>
          <w:szCs w:val="28"/>
        </w:rPr>
      </w:pPr>
      <w:r w:rsidRPr="00A32106">
        <w:rPr>
          <w:rFonts w:asciiTheme="majorHAnsi" w:hAnsiTheme="majorHAnsi" w:cstheme="majorHAnsi"/>
          <w:color w:val="0070C0"/>
          <w:sz w:val="28"/>
          <w:szCs w:val="28"/>
        </w:rPr>
        <w:lastRenderedPageBreak/>
        <w:t>PARTNESHIPS: ACHIEVEMENT AND CHALLENGES</w:t>
      </w:r>
    </w:p>
    <w:p w14:paraId="30CEAE9A" w14:textId="77777777" w:rsidR="000B29FF" w:rsidRPr="00A32106" w:rsidRDefault="000B29FF" w:rsidP="000B29FF">
      <w:pPr>
        <w:jc w:val="both"/>
        <w:rPr>
          <w:rFonts w:asciiTheme="majorHAnsi" w:hAnsiTheme="majorHAnsi" w:cstheme="majorHAnsi"/>
          <w:color w:val="0070C0"/>
          <w:sz w:val="28"/>
          <w:szCs w:val="28"/>
        </w:rPr>
      </w:pPr>
      <w:r w:rsidRPr="00A32106">
        <w:rPr>
          <w:rFonts w:asciiTheme="majorHAnsi" w:hAnsiTheme="majorHAnsi" w:cstheme="majorHAnsi"/>
          <w:color w:val="0070C0"/>
          <w:sz w:val="28"/>
          <w:szCs w:val="28"/>
        </w:rPr>
        <w:t xml:space="preserve">Highlights of External Partnerships </w:t>
      </w:r>
    </w:p>
    <w:p w14:paraId="040D0D62" w14:textId="4949AA09" w:rsidR="000B29FF" w:rsidRPr="00793CD0" w:rsidRDefault="000E0818" w:rsidP="000B29FF">
      <w:pPr>
        <w:jc w:val="both"/>
      </w:pPr>
      <w:r>
        <w:t xml:space="preserve">A partnership has been established with </w:t>
      </w:r>
      <w:r w:rsidRPr="00F2549A">
        <w:t>University of Cologne</w:t>
      </w:r>
      <w:r>
        <w:t xml:space="preserve"> and </w:t>
      </w:r>
      <w:r w:rsidRPr="00F2549A">
        <w:t>Future Rural Africa Research Group</w:t>
      </w:r>
      <w:r>
        <w:t xml:space="preserve"> at the University of Bonn for a planned special issue publication on aspirations. </w:t>
      </w:r>
      <w:r w:rsidR="000B29FF">
        <w:t xml:space="preserve">The team working on gender and youth established partnerships with </w:t>
      </w:r>
      <w:r w:rsidR="009506A6">
        <w:t xml:space="preserve">the social science departments at </w:t>
      </w:r>
      <w:r w:rsidR="000B29FF">
        <w:t>M</w:t>
      </w:r>
      <w:r w:rsidR="000B29FF" w:rsidRPr="00872A97">
        <w:t>akerere Univers</w:t>
      </w:r>
      <w:r w:rsidR="000B29FF">
        <w:t>i</w:t>
      </w:r>
      <w:r w:rsidR="000B29FF" w:rsidRPr="00872A97">
        <w:t>ty</w:t>
      </w:r>
      <w:r w:rsidR="000B29FF">
        <w:t xml:space="preserve"> in Uganda, </w:t>
      </w:r>
      <w:proofErr w:type="spellStart"/>
      <w:r w:rsidR="000B29FF" w:rsidRPr="00872A97">
        <w:t>Haramaya</w:t>
      </w:r>
      <w:proofErr w:type="spellEnd"/>
      <w:r w:rsidR="000B29FF" w:rsidRPr="00872A97">
        <w:t xml:space="preserve"> University</w:t>
      </w:r>
      <w:r w:rsidR="000B29FF">
        <w:t xml:space="preserve"> in Ethiopia, </w:t>
      </w:r>
      <w:r w:rsidR="000B29FF" w:rsidRPr="00872A97">
        <w:t>Sokoine University of Agriculture</w:t>
      </w:r>
      <w:r w:rsidR="000B29FF">
        <w:t xml:space="preserve"> in Tanzania</w:t>
      </w:r>
      <w:r w:rsidR="009506A6">
        <w:t>.</w:t>
      </w:r>
      <w:r w:rsidR="000B29FF">
        <w:t xml:space="preserve"> </w:t>
      </w:r>
      <w:r w:rsidR="009506A6" w:rsidRPr="009506A6">
        <w:t>A PhD student study</w:t>
      </w:r>
      <w:r w:rsidR="009506A6">
        <w:t xml:space="preserve">ing </w:t>
      </w:r>
      <w:r w:rsidR="009506A6" w:rsidRPr="009506A6">
        <w:t xml:space="preserve">youth and employment was drafted to join the team designing the youth strategy study for the GLDC. Each department identified male and female enumerators that would support data collection in each country. The project implementation team met in Nairobi in early 2019 to design the project methodology - a training facilitated by </w:t>
      </w:r>
      <w:hyperlink r:id="rId8" w:history="1">
        <w:r w:rsidR="009506A6" w:rsidRPr="009506A6">
          <w:rPr>
            <w:rStyle w:val="Hyperlink"/>
          </w:rPr>
          <w:t>ww</w:t>
        </w:r>
        <w:r w:rsidR="009506A6" w:rsidRPr="00A47EC2">
          <w:rPr>
            <w:rStyle w:val="Hyperlink"/>
          </w:rPr>
          <w:t>w</w:t>
        </w:r>
        <w:r w:rsidR="009506A6" w:rsidRPr="009506A6">
          <w:rPr>
            <w:rStyle w:val="Hyperlink"/>
          </w:rPr>
          <w:t>.greatagriculture.org</w:t>
        </w:r>
      </w:hyperlink>
      <w:r w:rsidR="009506A6" w:rsidRPr="009506A6">
        <w:t>.</w:t>
      </w:r>
      <w:r w:rsidR="009506A6">
        <w:t xml:space="preserve"> </w:t>
      </w:r>
      <w:r w:rsidR="009506A6" w:rsidRPr="009506A6">
        <w:t xml:space="preserve">The concept of ' youth transitions' and the associated 'opportunity structures' were identified as key areas of research. The study sites in each country were aligned with sites where ICRISAT/NARS partners had other on-going activities for example in Tanzania, the youth study sites are aligned with 'commodity corridors' for groundnuts and sorghums, based on the notion that 'opportunity structures' for the youth are most likely aligned to the commodity value chain sectors.  </w:t>
      </w:r>
      <w:r w:rsidR="00D64A4C" w:rsidRPr="00D64A4C">
        <w:t>The main challenge has been in sorting the logistics of administering the partnership agreements and funds transfer in a synchronized manner</w:t>
      </w:r>
      <w:r w:rsidR="00D64A4C">
        <w:t>.</w:t>
      </w:r>
      <w:r w:rsidR="00D64A4C" w:rsidRPr="00D64A4C">
        <w:t xml:space="preserve"> </w:t>
      </w:r>
      <w:r w:rsidR="00D64A4C">
        <w:t>T</w:t>
      </w:r>
      <w:r w:rsidR="00D64A4C" w:rsidRPr="00D64A4C">
        <w:t>he process is easier in some countries than others</w:t>
      </w:r>
      <w:r w:rsidR="00D64A4C">
        <w:t xml:space="preserve">, </w:t>
      </w:r>
      <w:r w:rsidR="00D64A4C" w:rsidRPr="00D64A4C">
        <w:t xml:space="preserve">leading to the inability to synchronize the implementation of activities. </w:t>
      </w:r>
      <w:r w:rsidR="00D64A4C">
        <w:t>GLDC</w:t>
      </w:r>
      <w:r w:rsidR="00D64A4C" w:rsidRPr="00D64A4C">
        <w:t xml:space="preserve"> has been supportive of availing extra funding to cover all the countries in the study. </w:t>
      </w:r>
      <w:r w:rsidR="000B29FF" w:rsidRPr="00250962">
        <w:t xml:space="preserve">The </w:t>
      </w:r>
      <w:r>
        <w:t>work on</w:t>
      </w:r>
      <w:r w:rsidR="000B29FF" w:rsidRPr="00250962">
        <w:t xml:space="preserve"> adoption and impact</w:t>
      </w:r>
      <w:r>
        <w:t xml:space="preserve">s of improved cowpea varieties in Nigeria </w:t>
      </w:r>
      <w:r w:rsidR="000B29FF" w:rsidRPr="00250962">
        <w:t xml:space="preserve">was conducted in partnership with cowpea breeders and agronomists at </w:t>
      </w:r>
      <w:r>
        <w:t>the</w:t>
      </w:r>
      <w:r w:rsidR="000B29FF" w:rsidRPr="00250962">
        <w:t xml:space="preserve"> </w:t>
      </w:r>
      <w:r w:rsidR="000B29FF">
        <w:t xml:space="preserve">Nigeria’s </w:t>
      </w:r>
      <w:r w:rsidR="000B29FF" w:rsidRPr="00250962">
        <w:t>I</w:t>
      </w:r>
      <w:r w:rsidR="000B29FF">
        <w:t>nstitute of Agricultural Research</w:t>
      </w:r>
      <w:r w:rsidR="000B29FF" w:rsidRPr="00250962">
        <w:t>. Through constant interactions and consultations, the study benefited from technical inputs from breeders and agronomists who were involved in the development and dissemination of improved varieties and agronomic practices.</w:t>
      </w:r>
      <w:r w:rsidR="000B29FF">
        <w:t xml:space="preserve"> </w:t>
      </w:r>
      <w:r>
        <w:t xml:space="preserve">Challenges were largely related to </w:t>
      </w:r>
      <w:r w:rsidR="00B029EE">
        <w:t>the fact that many national and regional partner</w:t>
      </w:r>
      <w:r w:rsidR="00646B5E">
        <w:t xml:space="preserve"> organizations</w:t>
      </w:r>
      <w:r w:rsidR="00B029EE">
        <w:t xml:space="preserve"> </w:t>
      </w:r>
      <w:r w:rsidR="00646B5E">
        <w:t xml:space="preserve">have either very few or no social scientists.   </w:t>
      </w:r>
    </w:p>
    <w:p w14:paraId="03C72E5D" w14:textId="77777777" w:rsidR="000B29FF" w:rsidRDefault="000B29FF" w:rsidP="000B29FF">
      <w:pPr>
        <w:jc w:val="both"/>
      </w:pPr>
    </w:p>
    <w:p w14:paraId="0B4A5D63" w14:textId="77777777" w:rsidR="000B29FF" w:rsidRPr="00A32106" w:rsidRDefault="000B29FF" w:rsidP="000B29FF">
      <w:pPr>
        <w:jc w:val="both"/>
        <w:rPr>
          <w:rFonts w:asciiTheme="majorHAnsi" w:hAnsiTheme="majorHAnsi" w:cstheme="majorHAnsi"/>
          <w:color w:val="0070C0"/>
          <w:sz w:val="28"/>
          <w:szCs w:val="28"/>
        </w:rPr>
      </w:pPr>
      <w:r w:rsidRPr="00A32106">
        <w:rPr>
          <w:rFonts w:asciiTheme="majorHAnsi" w:hAnsiTheme="majorHAnsi" w:cstheme="majorHAnsi"/>
          <w:color w:val="0070C0"/>
          <w:sz w:val="28"/>
          <w:szCs w:val="28"/>
        </w:rPr>
        <w:t xml:space="preserve">Cross-CGIAR Partnerships </w:t>
      </w:r>
    </w:p>
    <w:p w14:paraId="1C34253A" w14:textId="0BE93F84" w:rsidR="0075260B" w:rsidRPr="00BF18C2" w:rsidRDefault="00837FC9" w:rsidP="0075260B">
      <w:pPr>
        <w:keepNext/>
        <w:ind w:right="96"/>
        <w:jc w:val="both"/>
        <w:rPr>
          <w:sz w:val="20"/>
          <w:szCs w:val="20"/>
        </w:rPr>
      </w:pPr>
      <w:r>
        <w:t>Beyond the strong collaborative work involving the core implementing partners (i.e. ICRISAT, IITA, ICRAF, and ICARDA), there were a few cross-CRP and cross-center collaborations in 2019. A</w:t>
      </w:r>
      <w:r w:rsidR="000B29FF">
        <w:t xml:space="preserve"> </w:t>
      </w:r>
      <w:r w:rsidR="0075260B">
        <w:t>collaborati</w:t>
      </w:r>
      <w:r>
        <w:t>ve work</w:t>
      </w:r>
      <w:r w:rsidR="0075260B">
        <w:t xml:space="preserve"> </w:t>
      </w:r>
      <w:r w:rsidR="000B29FF">
        <w:t xml:space="preserve">with </w:t>
      </w:r>
      <w:r w:rsidR="0075260B">
        <w:t xml:space="preserve">PIM </w:t>
      </w:r>
      <w:r w:rsidR="000B29FF">
        <w:t xml:space="preserve">has enabled researchers in Flagship 1 to update the GLDC database of </w:t>
      </w:r>
      <w:r w:rsidR="0075260B">
        <w:t>IFPRI’s</w:t>
      </w:r>
      <w:r w:rsidR="000B29FF">
        <w:t xml:space="preserve"> </w:t>
      </w:r>
      <w:r w:rsidR="000B29FF" w:rsidRPr="009A6FBB">
        <w:t>International Model for the Policy Analysis of Agricultural Commodities and Trade (IMPACT)</w:t>
      </w:r>
      <w:r w:rsidR="000B29FF">
        <w:t xml:space="preserve"> for f</w:t>
      </w:r>
      <w:r w:rsidR="000B29FF" w:rsidRPr="00F10169">
        <w:t xml:space="preserve">oresight modeling and ex-ante analysis </w:t>
      </w:r>
      <w:r w:rsidR="000B29FF">
        <w:t>for</w:t>
      </w:r>
      <w:r w:rsidR="000B29FF" w:rsidRPr="00F10169">
        <w:t xml:space="preserve"> priority setting</w:t>
      </w:r>
      <w:r w:rsidR="000B29FF">
        <w:t>. R</w:t>
      </w:r>
      <w:r w:rsidR="000B29FF" w:rsidRPr="0016709B">
        <w:t>esearchers in Flagship 1 work closely with t</w:t>
      </w:r>
      <w:r w:rsidR="000B29FF" w:rsidRPr="00A1371D">
        <w:t xml:space="preserve">he CGIAR Collaborative Platform for Gender Research. </w:t>
      </w:r>
      <w:r w:rsidR="0075260B">
        <w:t>A</w:t>
      </w:r>
      <w:r w:rsidR="0075260B" w:rsidRPr="0007583F">
        <w:t xml:space="preserve">ctivities in </w:t>
      </w:r>
      <w:r w:rsidR="0075260B">
        <w:t xml:space="preserve">the area of </w:t>
      </w:r>
      <w:r w:rsidR="0075260B" w:rsidRPr="0007583F">
        <w:t xml:space="preserve">urban food system understanding </w:t>
      </w:r>
      <w:r w:rsidR="0075260B">
        <w:t>were carried out in c</w:t>
      </w:r>
      <w:r w:rsidR="0075260B" w:rsidRPr="0007583F">
        <w:t>o</w:t>
      </w:r>
      <w:r w:rsidR="0075260B">
        <w:t>llaboration with CIAT through increased l</w:t>
      </w:r>
      <w:r w:rsidR="0075260B" w:rsidRPr="0007583F">
        <w:t xml:space="preserve">inkages to the farming population </w:t>
      </w:r>
      <w:r w:rsidR="0075260B">
        <w:t>and</w:t>
      </w:r>
      <w:r w:rsidR="0075260B" w:rsidRPr="0007583F">
        <w:t xml:space="preserve"> integration of activities </w:t>
      </w:r>
      <w:r w:rsidR="0075260B">
        <w:t>to</w:t>
      </w:r>
      <w:r w:rsidR="0075260B" w:rsidRPr="0007583F">
        <w:t xml:space="preserve"> create synergies.</w:t>
      </w:r>
      <w:r w:rsidR="0075260B">
        <w:t xml:space="preserve"> C</w:t>
      </w:r>
      <w:r w:rsidR="0075260B" w:rsidRPr="0007583F">
        <w:t xml:space="preserve">ollaborative work </w:t>
      </w:r>
      <w:r w:rsidR="0075260B">
        <w:t xml:space="preserve">with PIM </w:t>
      </w:r>
      <w:r w:rsidR="0052014F">
        <w:t>to</w:t>
      </w:r>
      <w:r w:rsidR="0075260B" w:rsidRPr="0007583F">
        <w:t xml:space="preserve"> </w:t>
      </w:r>
      <w:r w:rsidR="0075260B">
        <w:t>enhanc</w:t>
      </w:r>
      <w:r w:rsidR="0052014F">
        <w:t>e</w:t>
      </w:r>
      <w:r w:rsidR="0075260B">
        <w:t xml:space="preserve"> our </w:t>
      </w:r>
      <w:r w:rsidR="0075260B" w:rsidRPr="0007583F">
        <w:t>understanding of household situations and outlook and the implications for adoption</w:t>
      </w:r>
      <w:r w:rsidR="0075260B">
        <w:t xml:space="preserve"> as well as </w:t>
      </w:r>
      <w:r w:rsidR="0052014F" w:rsidRPr="0007583F">
        <w:t>dietary and entrepreneurship entry points</w:t>
      </w:r>
      <w:r w:rsidR="0052014F" w:rsidRPr="001B59E6">
        <w:t xml:space="preserve">. </w:t>
      </w:r>
      <w:r w:rsidR="001B59E6">
        <w:t xml:space="preserve">There was also </w:t>
      </w:r>
      <w:r w:rsidR="001B59E6" w:rsidRPr="001B59E6">
        <w:t>CGIAR</w:t>
      </w:r>
      <w:r w:rsidR="001B59E6">
        <w:t>-</w:t>
      </w:r>
      <w:r w:rsidR="001B59E6" w:rsidRPr="001B59E6">
        <w:t xml:space="preserve">wider partnership for delivery of </w:t>
      </w:r>
      <w:r w:rsidR="001B59E6">
        <w:t>g</w:t>
      </w:r>
      <w:r w:rsidR="001B59E6" w:rsidRPr="001B59E6">
        <w:t xml:space="preserve">ender </w:t>
      </w:r>
      <w:r w:rsidR="001B59E6">
        <w:t>r</w:t>
      </w:r>
      <w:r w:rsidR="001B59E6" w:rsidRPr="001B59E6">
        <w:t>esearch</w:t>
      </w:r>
      <w:r w:rsidR="001B59E6">
        <w:t xml:space="preserve"> involving gender scientists from all CGIAR centers.</w:t>
      </w:r>
      <w:r w:rsidR="00BF18C2">
        <w:t xml:space="preserve"> The </w:t>
      </w:r>
      <w:r w:rsidR="00BF18C2" w:rsidRPr="00BF18C2">
        <w:t>Gender and Breeding Initiative</w:t>
      </w:r>
      <w:r w:rsidR="00BF18C2">
        <w:t>/</w:t>
      </w:r>
      <w:r w:rsidR="00BF18C2" w:rsidRPr="00BF18C2">
        <w:t>Excellence in Breeding</w:t>
      </w:r>
      <w:r w:rsidR="00BF18C2">
        <w:t xml:space="preserve"> was yet another platform involving g</w:t>
      </w:r>
      <w:r w:rsidR="00BF18C2" w:rsidRPr="00BF18C2">
        <w:t xml:space="preserve">ender </w:t>
      </w:r>
      <w:r w:rsidR="00BF18C2">
        <w:t xml:space="preserve">scientists </w:t>
      </w:r>
      <w:r w:rsidR="00BF18C2" w:rsidRPr="00BF18C2">
        <w:t xml:space="preserve">and </w:t>
      </w:r>
      <w:r w:rsidR="00BF18C2">
        <w:t>b</w:t>
      </w:r>
      <w:r w:rsidR="00BF18C2" w:rsidRPr="00BF18C2">
        <w:t xml:space="preserve">reeders from CGIAR </w:t>
      </w:r>
      <w:proofErr w:type="spellStart"/>
      <w:r w:rsidR="00BF18C2" w:rsidRPr="00BF18C2">
        <w:t>centres</w:t>
      </w:r>
      <w:proofErr w:type="spellEnd"/>
      <w:r w:rsidR="00BF18C2" w:rsidRPr="00BF18C2">
        <w:t xml:space="preserve"> that have commodity breeding programs</w:t>
      </w:r>
      <w:r w:rsidR="00BF18C2">
        <w:t>.</w:t>
      </w:r>
    </w:p>
    <w:p w14:paraId="3EED49E6" w14:textId="038A8B13" w:rsidR="000B29FF" w:rsidRDefault="000B29FF" w:rsidP="000B29FF">
      <w:pPr>
        <w:jc w:val="both"/>
      </w:pPr>
    </w:p>
    <w:p w14:paraId="7512B5A3" w14:textId="77777777" w:rsidR="00184479" w:rsidRDefault="00184479" w:rsidP="00AB4CF1">
      <w:pPr>
        <w:ind w:left="360" w:hanging="360"/>
        <w:rPr>
          <w:b/>
          <w:bCs/>
        </w:rPr>
      </w:pPr>
    </w:p>
    <w:p w14:paraId="5235DBBC" w14:textId="0C2B52C3" w:rsidR="00AB4CF1" w:rsidRPr="00AB4CF1" w:rsidRDefault="00AB4CF1" w:rsidP="00AB4CF1">
      <w:pPr>
        <w:ind w:left="360" w:hanging="360"/>
        <w:rPr>
          <w:b/>
          <w:bCs/>
        </w:rPr>
      </w:pPr>
      <w:bookmarkStart w:id="4" w:name="_GoBack"/>
      <w:bookmarkEnd w:id="4"/>
      <w:r w:rsidRPr="00AB4CF1">
        <w:rPr>
          <w:b/>
          <w:bCs/>
        </w:rPr>
        <w:lastRenderedPageBreak/>
        <w:t>References</w:t>
      </w:r>
    </w:p>
    <w:p w14:paraId="0399BD01" w14:textId="44CCE1E0" w:rsidR="00002B95" w:rsidRDefault="00002B95" w:rsidP="00AB4CF1">
      <w:pPr>
        <w:ind w:left="360" w:hanging="360"/>
      </w:pPr>
      <w:r w:rsidRPr="00002B95">
        <w:t xml:space="preserve">Kumara </w:t>
      </w:r>
      <w:proofErr w:type="spellStart"/>
      <w:r w:rsidRPr="00002B95">
        <w:t>C</w:t>
      </w:r>
      <w:r>
        <w:t>haryulu</w:t>
      </w:r>
      <w:proofErr w:type="spellEnd"/>
      <w:r>
        <w:t xml:space="preserve">, D., </w:t>
      </w:r>
      <w:r w:rsidRPr="00002B95">
        <w:t>P</w:t>
      </w:r>
      <w:r>
        <w:t>. Gaur</w:t>
      </w:r>
      <w:r w:rsidRPr="00002B95">
        <w:t>, M</w:t>
      </w:r>
      <w:r>
        <w:t xml:space="preserve">. Win, </w:t>
      </w:r>
      <w:r w:rsidRPr="00002B95">
        <w:t>K</w:t>
      </w:r>
      <w:r>
        <w:t>.</w:t>
      </w:r>
      <w:r w:rsidRPr="00002B95">
        <w:t xml:space="preserve"> </w:t>
      </w:r>
      <w:proofErr w:type="spellStart"/>
      <w:r w:rsidRPr="00002B95">
        <w:t>Mazvimavia</w:t>
      </w:r>
      <w:proofErr w:type="spellEnd"/>
      <w:r w:rsidRPr="00002B95">
        <w:t>, KPC Rao</w:t>
      </w:r>
      <w:r>
        <w:t>,</w:t>
      </w:r>
      <w:r w:rsidRPr="00002B95">
        <w:t xml:space="preserve"> T</w:t>
      </w:r>
      <w:r>
        <w:t xml:space="preserve">. </w:t>
      </w:r>
      <w:proofErr w:type="spellStart"/>
      <w:r w:rsidRPr="00002B95">
        <w:t>Shwe</w:t>
      </w:r>
      <w:proofErr w:type="spellEnd"/>
      <w:r>
        <w:t xml:space="preserve"> (2019). </w:t>
      </w:r>
      <w:r w:rsidRPr="00002B95">
        <w:t>Impacts of early maturing chickpea improved cultivars in Myanmar</w:t>
      </w:r>
      <w:r>
        <w:t xml:space="preserve">. </w:t>
      </w:r>
      <w:hyperlink r:id="rId9" w:history="1">
        <w:r w:rsidRPr="004C541C">
          <w:rPr>
            <w:rStyle w:val="Hyperlink"/>
          </w:rPr>
          <w:t>https://hdl.handle.net/20.500.11766/9784</w:t>
        </w:r>
      </w:hyperlink>
    </w:p>
    <w:p w14:paraId="583C03C7" w14:textId="300E560E" w:rsidR="00AB4CF1" w:rsidRDefault="00AB4CF1" w:rsidP="00AB4CF1">
      <w:pPr>
        <w:ind w:left="360" w:hanging="360"/>
      </w:pPr>
      <w:proofErr w:type="spellStart"/>
      <w:r w:rsidRPr="00723F21">
        <w:t>Gassner</w:t>
      </w:r>
      <w:proofErr w:type="spellEnd"/>
      <w:r w:rsidRPr="00723F21">
        <w:t xml:space="preserve">, A., Harris, D., Mausch, K., </w:t>
      </w:r>
      <w:proofErr w:type="spellStart"/>
      <w:r w:rsidRPr="00723F21">
        <w:t>Terheggen</w:t>
      </w:r>
      <w:proofErr w:type="spellEnd"/>
      <w:r w:rsidRPr="00723F21">
        <w:t xml:space="preserve">, A., Lopes, C., Finlayson, R.F. and Dobie, P.  (2019), Poverty eradication and food security through agriculture in Africa: rethinking objectives and entry points, Outlook on Agriculture, 48(4), pp. 309-315. </w:t>
      </w:r>
      <w:hyperlink r:id="rId10" w:history="1">
        <w:r w:rsidRPr="00695842">
          <w:rPr>
            <w:rStyle w:val="Hyperlink"/>
          </w:rPr>
          <w:t>https://doi.org/10.1177%2F0030727019888513</w:t>
        </w:r>
      </w:hyperlink>
      <w:r>
        <w:t xml:space="preserve"> </w:t>
      </w:r>
    </w:p>
    <w:p w14:paraId="1169D4AB" w14:textId="77777777" w:rsidR="00AB4CF1" w:rsidRDefault="00AB4CF1" w:rsidP="00AB4CF1">
      <w:pPr>
        <w:ind w:left="360" w:hanging="360"/>
      </w:pPr>
      <w:r w:rsidRPr="00723F21">
        <w:t xml:space="preserve">Harris, D., Chamberlin, J. and Mausch, K. (2019) Can African smallholders farm themselves out of poverty?, The Conversation, 11.12.2019, </w:t>
      </w:r>
      <w:hyperlink r:id="rId11" w:history="1">
        <w:r w:rsidRPr="00695842">
          <w:rPr>
            <w:rStyle w:val="Hyperlink"/>
          </w:rPr>
          <w:t>https://theconversation.com/can-african-smallholders-farm-themselves-out-of-poverty-126692</w:t>
        </w:r>
      </w:hyperlink>
      <w:r>
        <w:t xml:space="preserve"> </w:t>
      </w:r>
    </w:p>
    <w:p w14:paraId="241062C3" w14:textId="77777777" w:rsidR="00AB4CF1" w:rsidRDefault="00AB4CF1" w:rsidP="00AB4CF1">
      <w:pPr>
        <w:ind w:left="360" w:hanging="360"/>
      </w:pPr>
      <w:proofErr w:type="spellStart"/>
      <w:r>
        <w:t>Homann</w:t>
      </w:r>
      <w:proofErr w:type="spellEnd"/>
      <w:r>
        <w:t xml:space="preserve">-Kee </w:t>
      </w:r>
      <w:proofErr w:type="spellStart"/>
      <w:r>
        <w:t>Tui</w:t>
      </w:r>
      <w:proofErr w:type="spellEnd"/>
      <w:r>
        <w:t xml:space="preserve">, S. (2019), </w:t>
      </w:r>
      <w:r w:rsidRPr="00723F21">
        <w:t>OPINION: As drought hits, Zimbabweans are going hungry</w:t>
      </w:r>
      <w:r>
        <w:t xml:space="preserve">, Thomson Reuters Foundation News, </w:t>
      </w:r>
      <w:hyperlink r:id="rId12" w:history="1">
        <w:r w:rsidRPr="00695842">
          <w:rPr>
            <w:rStyle w:val="Hyperlink"/>
          </w:rPr>
          <w:t>http://news.trust.org/item/20191101102503-vcwm8/</w:t>
        </w:r>
      </w:hyperlink>
      <w:r>
        <w:t xml:space="preserve"> </w:t>
      </w:r>
    </w:p>
    <w:p w14:paraId="3E77EAB6" w14:textId="24C8EF2F" w:rsidR="00AB4CF1" w:rsidRDefault="00AB4CF1" w:rsidP="00AB4CF1">
      <w:pPr>
        <w:ind w:left="360" w:hanging="360"/>
      </w:pPr>
      <w:r>
        <w:t>LaRue, K. (2019) Making Sense of Intergenerational Aspirations in Agrarian Households and Their Implications for Technology Adoption: Evidence from Kenya, MSc thesis, University of Hohenheim.</w:t>
      </w:r>
      <w:r w:rsidRPr="00333CBB">
        <w:t xml:space="preserve"> </w:t>
      </w:r>
      <w:hyperlink r:id="rId13" w:history="1">
        <w:r w:rsidR="001B57F5" w:rsidRPr="004C541C">
          <w:rPr>
            <w:rStyle w:val="Hyperlink"/>
          </w:rPr>
          <w:t>https://hdl.handle.net/20.500.11766/10058</w:t>
        </w:r>
      </w:hyperlink>
    </w:p>
    <w:p w14:paraId="1954128F" w14:textId="77777777" w:rsidR="00656B64" w:rsidRPr="00656B64" w:rsidRDefault="00656B64" w:rsidP="00656B64">
      <w:pPr>
        <w:ind w:left="360" w:hanging="360"/>
      </w:pPr>
      <w:r w:rsidRPr="001D46C1">
        <w:t xml:space="preserve">Manda, J., A.D. Alene, A.H. Tufa, T. Abdoulaye, O. </w:t>
      </w:r>
      <w:proofErr w:type="spellStart"/>
      <w:r w:rsidRPr="001D46C1">
        <w:t>Olufajo</w:t>
      </w:r>
      <w:proofErr w:type="spellEnd"/>
      <w:r w:rsidRPr="001D46C1">
        <w:t xml:space="preserve">, A.Y. Kamara, O. Boukar, </w:t>
      </w:r>
      <w:r>
        <w:t xml:space="preserve">and </w:t>
      </w:r>
      <w:r w:rsidRPr="001D46C1">
        <w:t xml:space="preserve">V. </w:t>
      </w:r>
      <w:proofErr w:type="spellStart"/>
      <w:r w:rsidRPr="001D46C1">
        <w:t>Manyong</w:t>
      </w:r>
      <w:proofErr w:type="spellEnd"/>
      <w:r w:rsidRPr="001D46C1">
        <w:t xml:space="preserve"> (2019). Adoption and Ex-Post Impacts of Improved Cowpea Varieties on Productivity, Net Returns and Costs in Nigeria. </w:t>
      </w:r>
      <w:r w:rsidRPr="00656B64">
        <w:t>Journal of Agricultural Economics</w:t>
      </w:r>
      <w:r w:rsidRPr="001D46C1">
        <w:t xml:space="preserve">. </w:t>
      </w:r>
    </w:p>
    <w:p w14:paraId="4958BDB5" w14:textId="6CAD9644" w:rsidR="00656B64" w:rsidRPr="00656B64" w:rsidRDefault="00656B64" w:rsidP="00656B64">
      <w:pPr>
        <w:ind w:left="360" w:hanging="360"/>
      </w:pPr>
      <w:r>
        <w:t xml:space="preserve">       </w:t>
      </w:r>
      <w:hyperlink r:id="rId14" w:history="1">
        <w:r w:rsidRPr="00AE2803">
          <w:rPr>
            <w:rStyle w:val="Hyperlink"/>
          </w:rPr>
          <w:t>https://doi.org/10.1111/1477-9552.12331</w:t>
        </w:r>
      </w:hyperlink>
      <w:r w:rsidRPr="00656B64">
        <w:t>.</w:t>
      </w:r>
    </w:p>
    <w:p w14:paraId="6C72B237" w14:textId="6E7ABC27" w:rsidR="00656B64" w:rsidRDefault="00656B64" w:rsidP="00656B64">
      <w:pPr>
        <w:ind w:left="360" w:hanging="360"/>
      </w:pPr>
      <w:r w:rsidRPr="001D46C1">
        <w:t xml:space="preserve">Manda, J., A.D. Alene, Adane H Tufa, Tahirou Abdoulaye, Tesfamicheal </w:t>
      </w:r>
      <w:proofErr w:type="spellStart"/>
      <w:r w:rsidRPr="001D46C1">
        <w:t>Wossen</w:t>
      </w:r>
      <w:proofErr w:type="spellEnd"/>
      <w:r w:rsidRPr="001D46C1">
        <w:t xml:space="preserve">, David </w:t>
      </w:r>
      <w:proofErr w:type="spellStart"/>
      <w:r w:rsidRPr="001D46C1">
        <w:t>Chikoye</w:t>
      </w:r>
      <w:proofErr w:type="spellEnd"/>
      <w:r>
        <w:t>,</w:t>
      </w:r>
      <w:r w:rsidRPr="001D46C1">
        <w:t xml:space="preserve"> </w:t>
      </w:r>
      <w:r>
        <w:t xml:space="preserve">and </w:t>
      </w:r>
      <w:r w:rsidRPr="001D46C1">
        <w:t xml:space="preserve">Victor </w:t>
      </w:r>
      <w:proofErr w:type="spellStart"/>
      <w:r w:rsidRPr="001D46C1">
        <w:t>Manyong</w:t>
      </w:r>
      <w:proofErr w:type="spellEnd"/>
      <w:r w:rsidRPr="001D46C1">
        <w:t xml:space="preserve"> (2019)</w:t>
      </w:r>
      <w:r>
        <w:t>.</w:t>
      </w:r>
      <w:r w:rsidRPr="001D46C1">
        <w:t xml:space="preserve"> The Impact of Improved Cowpea Varieties on Poverty in Nigeria: A Counterfactual Analysis. </w:t>
      </w:r>
      <w:r w:rsidRPr="00656B64">
        <w:t xml:space="preserve">World Development </w:t>
      </w:r>
      <w:r w:rsidRPr="001D46C1">
        <w:t>122</w:t>
      </w:r>
      <w:r w:rsidRPr="00656B64">
        <w:t>:261–271.</w:t>
      </w:r>
      <w:r w:rsidRPr="001D46C1">
        <w:t xml:space="preserve"> </w:t>
      </w:r>
      <w:hyperlink r:id="rId15" w:history="1">
        <w:r w:rsidRPr="00AE2803">
          <w:rPr>
            <w:rStyle w:val="Hyperlink"/>
          </w:rPr>
          <w:t>https://doi.org/10.1016/j.worlddev.2019.05.027</w:t>
        </w:r>
      </w:hyperlink>
    </w:p>
    <w:p w14:paraId="197427CE" w14:textId="4F581286" w:rsidR="00AB4CF1" w:rsidRPr="00723F21" w:rsidRDefault="00AB4CF1" w:rsidP="00AB4CF1">
      <w:pPr>
        <w:ind w:left="360" w:hanging="360"/>
      </w:pPr>
      <w:proofErr w:type="spellStart"/>
      <w:r w:rsidRPr="00723F21">
        <w:t>Simtowe</w:t>
      </w:r>
      <w:proofErr w:type="spellEnd"/>
      <w:r w:rsidRPr="00723F21">
        <w:t xml:space="preserve">, F. and Mausch, K. (2019), Who is quitting? An analysis of the dis-adoption of improved sorghum varieties in Tanzania, International Journal of Climate Change Strategies and Management, 11(3), pp. 341-3570. </w:t>
      </w:r>
      <w:hyperlink r:id="rId16" w:history="1">
        <w:r w:rsidRPr="00695842">
          <w:rPr>
            <w:rStyle w:val="Hyperlink"/>
          </w:rPr>
          <w:t>https://doi.org/10.1108/IJCCSM-01-2018-0007</w:t>
        </w:r>
      </w:hyperlink>
      <w:r>
        <w:t xml:space="preserve"> </w:t>
      </w:r>
    </w:p>
    <w:p w14:paraId="67999AD7" w14:textId="39772A4E" w:rsidR="00656B64" w:rsidRDefault="00656B64" w:rsidP="00656B64">
      <w:pPr>
        <w:ind w:left="360" w:hanging="360"/>
      </w:pPr>
      <w:r w:rsidRPr="00BD7696">
        <w:t>Tufa</w:t>
      </w:r>
      <w:r>
        <w:t xml:space="preserve">, A., A.D. Alene, J. Manda, M.G. Akinwale, D. </w:t>
      </w:r>
      <w:proofErr w:type="spellStart"/>
      <w:r>
        <w:t>Chikoye</w:t>
      </w:r>
      <w:proofErr w:type="spellEnd"/>
      <w:r>
        <w:t xml:space="preserve">, S. </w:t>
      </w:r>
      <w:proofErr w:type="spellStart"/>
      <w:r>
        <w:t>Feleke</w:t>
      </w:r>
      <w:proofErr w:type="spellEnd"/>
      <w:r>
        <w:t xml:space="preserve">, T. </w:t>
      </w:r>
      <w:proofErr w:type="spellStart"/>
      <w:r>
        <w:t>Wossen</w:t>
      </w:r>
      <w:proofErr w:type="spellEnd"/>
      <w:r>
        <w:t xml:space="preserve">, and V. </w:t>
      </w:r>
      <w:proofErr w:type="spellStart"/>
      <w:r>
        <w:t>Manyong</w:t>
      </w:r>
      <w:proofErr w:type="spellEnd"/>
      <w:r>
        <w:t xml:space="preserve"> (2019)</w:t>
      </w:r>
      <w:r w:rsidRPr="00BD7696">
        <w:t xml:space="preserve">. The yield and income effects of adoption of improved soybean varieties and agronomic practices in Malawi. </w:t>
      </w:r>
      <w:r w:rsidRPr="00656B64">
        <w:rPr>
          <w:b/>
          <w:bCs/>
        </w:rPr>
        <w:t>World Development</w:t>
      </w:r>
      <w:r>
        <w:t xml:space="preserve"> 124:104631. </w:t>
      </w:r>
      <w:hyperlink r:id="rId17" w:history="1">
        <w:r w:rsidRPr="00656B64">
          <w:rPr>
            <w:rStyle w:val="Hyperlink"/>
            <w:rFonts w:eastAsiaTheme="majorEastAsia"/>
          </w:rPr>
          <w:t>https://doi.org/10.1016/j.worlddev.2019.104631</w:t>
        </w:r>
      </w:hyperlink>
      <w:r w:rsidRPr="00656B64">
        <w:rPr>
          <w:rStyle w:val="Hyperlink"/>
        </w:rPr>
        <w:t>.</w:t>
      </w:r>
    </w:p>
    <w:p w14:paraId="1827BB97" w14:textId="23ED0AC4" w:rsidR="00AB4CF1" w:rsidRDefault="00AB4CF1" w:rsidP="00AB4CF1">
      <w:pPr>
        <w:ind w:left="360" w:hanging="360"/>
      </w:pPr>
      <w:proofErr w:type="spellStart"/>
      <w:r w:rsidRPr="00723F21">
        <w:t>Verkaart</w:t>
      </w:r>
      <w:proofErr w:type="spellEnd"/>
      <w:r w:rsidRPr="00723F21">
        <w:t xml:space="preserve">, S., Mausch, K., </w:t>
      </w:r>
      <w:proofErr w:type="spellStart"/>
      <w:r w:rsidRPr="00723F21">
        <w:t>Claessens</w:t>
      </w:r>
      <w:proofErr w:type="spellEnd"/>
      <w:r w:rsidRPr="00723F21">
        <w:t xml:space="preserve">, L. and </w:t>
      </w:r>
      <w:proofErr w:type="spellStart"/>
      <w:r w:rsidRPr="00723F21">
        <w:t>Giller</w:t>
      </w:r>
      <w:proofErr w:type="spellEnd"/>
      <w:r w:rsidRPr="00723F21">
        <w:t>, K. (2019), A recipe for success? Learning from the rapid adoption of improved chickpea varieties in Ethiopia, International Journal of Agricultural Sustainability, 17(1), pp. 34 - 48.</w:t>
      </w:r>
      <w:r>
        <w:t xml:space="preserve"> </w:t>
      </w:r>
      <w:hyperlink r:id="rId18" w:history="1">
        <w:r w:rsidRPr="00695842">
          <w:rPr>
            <w:rStyle w:val="Hyperlink"/>
          </w:rPr>
          <w:t>https://doi.org/10.1080/14735903.2018.1559007</w:t>
        </w:r>
      </w:hyperlink>
      <w:r>
        <w:t xml:space="preserve"> </w:t>
      </w:r>
    </w:p>
    <w:p w14:paraId="61159095" w14:textId="2643F5E5" w:rsidR="006E40C8" w:rsidRDefault="00AB4CF1" w:rsidP="00392CE1">
      <w:pPr>
        <w:ind w:left="360" w:hanging="360"/>
      </w:pPr>
      <w:r>
        <w:t xml:space="preserve">Watson, C. and Mausch, K. (2019), </w:t>
      </w:r>
      <w:r w:rsidRPr="00BA3AC1">
        <w:t>Diet crisis in Africa’s low income urban zones but transition to nutritious foods possible</w:t>
      </w:r>
      <w:r>
        <w:t xml:space="preserve"> </w:t>
      </w:r>
      <w:hyperlink r:id="rId19" w:history="1">
        <w:r w:rsidRPr="00BA3AC1">
          <w:rPr>
            <w:rStyle w:val="Hyperlink"/>
          </w:rPr>
          <w:t>http://worldagroforestry.org/blog/2020/01/08/diet-crisis-africas-low-income-urban-zones-transition-nutritious-foods-possible</w:t>
        </w:r>
      </w:hyperlink>
      <w:bookmarkEnd w:id="2"/>
    </w:p>
    <w:p w14:paraId="034B5172" w14:textId="5932E117" w:rsidR="006E40C8" w:rsidRPr="00D249F6" w:rsidRDefault="006E40C8" w:rsidP="00D249F6">
      <w:pPr>
        <w:pStyle w:val="Heading1"/>
        <w:rPr>
          <w:color w:val="BFBFBF" w:themeColor="background1" w:themeShade="BF"/>
          <w:sz w:val="24"/>
        </w:rPr>
        <w:sectPr w:rsidR="006E40C8" w:rsidRPr="00D249F6" w:rsidSect="00967AF7">
          <w:headerReference w:type="default" r:id="rId20"/>
          <w:footerReference w:type="default" r:id="rId21"/>
          <w:headerReference w:type="first" r:id="rId22"/>
          <w:pgSz w:w="12240" w:h="15840" w:code="1"/>
          <w:pgMar w:top="1411" w:right="1699" w:bottom="1411" w:left="1699" w:header="720" w:footer="720" w:gutter="0"/>
          <w:cols w:space="720"/>
          <w:titlePg/>
          <w:docGrid w:linePitch="360"/>
        </w:sectPr>
      </w:pPr>
    </w:p>
    <w:p w14:paraId="7B803031" w14:textId="31EFA924" w:rsidR="006E40C8" w:rsidRDefault="006E40C8" w:rsidP="006E40C8">
      <w:pPr>
        <w:pStyle w:val="Heading1"/>
        <w:rPr>
          <w:color w:val="BFBFBF" w:themeColor="background1" w:themeShade="BF"/>
          <w:sz w:val="24"/>
        </w:rPr>
      </w:pPr>
      <w:bookmarkStart w:id="5" w:name="_Toc535553054"/>
      <w:bookmarkStart w:id="6" w:name="_Toc535554733"/>
      <w:bookmarkStart w:id="7" w:name="_Toc535554955"/>
      <w:bookmarkStart w:id="8" w:name="_Toc535554996"/>
      <w:r w:rsidRPr="002D293F">
        <w:rPr>
          <w:color w:val="BFBFBF" w:themeColor="background1" w:themeShade="BF"/>
          <w:sz w:val="24"/>
        </w:rPr>
        <w:lastRenderedPageBreak/>
        <w:t xml:space="preserve">Table 1: </w:t>
      </w:r>
      <w:r w:rsidRPr="00614496">
        <w:rPr>
          <w:color w:val="BFBFBF" w:themeColor="background1" w:themeShade="BF"/>
          <w:sz w:val="24"/>
        </w:rPr>
        <w:t>MILESTONEs TABLE 201</w:t>
      </w:r>
      <w:bookmarkEnd w:id="5"/>
      <w:bookmarkEnd w:id="6"/>
      <w:bookmarkEnd w:id="7"/>
      <w:bookmarkEnd w:id="8"/>
      <w:r w:rsidR="00B92662">
        <w:rPr>
          <w:color w:val="BFBFBF" w:themeColor="background1" w:themeShade="BF"/>
          <w:sz w:val="24"/>
        </w:rPr>
        <w:t>9</w:t>
      </w:r>
    </w:p>
    <w:p w14:paraId="02B6CEB7" w14:textId="67DEE660" w:rsidR="00A3515A" w:rsidRDefault="00A3515A" w:rsidP="00A3515A">
      <w:r>
        <w:t>Summary of status of Planned Outcomes and Milestones (Sphere of Influence-Control)</w:t>
      </w:r>
    </w:p>
    <w:tbl>
      <w:tblPr>
        <w:tblW w:w="52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600" w:firstRow="0" w:lastRow="0" w:firstColumn="0" w:lastColumn="0" w:noHBand="1" w:noVBand="1"/>
      </w:tblPr>
      <w:tblGrid>
        <w:gridCol w:w="721"/>
        <w:gridCol w:w="2524"/>
        <w:gridCol w:w="2751"/>
        <w:gridCol w:w="2391"/>
        <w:gridCol w:w="2300"/>
        <w:gridCol w:w="4069"/>
      </w:tblGrid>
      <w:tr w:rsidR="00DC4B6D" w:rsidRPr="00DC6810" w14:paraId="79CB2777" w14:textId="77777777" w:rsidTr="00392CE1">
        <w:trPr>
          <w:trHeight w:val="1420"/>
        </w:trPr>
        <w:tc>
          <w:tcPr>
            <w:tcW w:w="349" w:type="pct"/>
            <w:shd w:val="clear" w:color="auto" w:fill="FFFFFF" w:themeFill="background1"/>
            <w:tcMar>
              <w:top w:w="100" w:type="dxa"/>
              <w:left w:w="100" w:type="dxa"/>
              <w:bottom w:w="100" w:type="dxa"/>
              <w:right w:w="100" w:type="dxa"/>
            </w:tcMar>
          </w:tcPr>
          <w:p w14:paraId="29A31145" w14:textId="77777777" w:rsidR="00363BBC" w:rsidRPr="00DC6810" w:rsidRDefault="00363BBC" w:rsidP="00DC6810">
            <w:pPr>
              <w:shd w:val="clear" w:color="auto" w:fill="FFFFFF" w:themeFill="background1"/>
              <w:rPr>
                <w:rFonts w:asciiTheme="majorHAnsi" w:hAnsiTheme="majorHAnsi" w:cstheme="majorHAnsi"/>
                <w:b/>
                <w:bCs/>
                <w:sz w:val="20"/>
                <w:szCs w:val="20"/>
              </w:rPr>
            </w:pPr>
            <w:r w:rsidRPr="00DC6810">
              <w:rPr>
                <w:rFonts w:asciiTheme="majorHAnsi" w:hAnsiTheme="majorHAnsi" w:cstheme="majorHAnsi"/>
                <w:b/>
                <w:bCs/>
                <w:sz w:val="20"/>
                <w:szCs w:val="20"/>
              </w:rPr>
              <w:t>FP</w:t>
            </w:r>
          </w:p>
        </w:tc>
        <w:tc>
          <w:tcPr>
            <w:tcW w:w="960" w:type="pct"/>
            <w:shd w:val="clear" w:color="auto" w:fill="FFFFFF" w:themeFill="background1"/>
            <w:tcMar>
              <w:top w:w="100" w:type="dxa"/>
              <w:left w:w="100" w:type="dxa"/>
              <w:bottom w:w="100" w:type="dxa"/>
              <w:right w:w="100" w:type="dxa"/>
            </w:tcMar>
          </w:tcPr>
          <w:p w14:paraId="6FDA5536" w14:textId="77777777" w:rsidR="00363BBC" w:rsidRPr="00DC6810" w:rsidRDefault="00363BBC" w:rsidP="00DC6810">
            <w:pPr>
              <w:shd w:val="clear" w:color="auto" w:fill="FFFFFF" w:themeFill="background1"/>
              <w:rPr>
                <w:rFonts w:asciiTheme="majorHAnsi" w:hAnsiTheme="majorHAnsi" w:cstheme="majorHAnsi"/>
                <w:b/>
                <w:bCs/>
                <w:sz w:val="20"/>
                <w:szCs w:val="20"/>
              </w:rPr>
            </w:pPr>
            <w:r w:rsidRPr="00DC6810">
              <w:rPr>
                <w:rFonts w:asciiTheme="majorHAnsi" w:hAnsiTheme="majorHAnsi" w:cstheme="majorHAnsi"/>
                <w:b/>
                <w:bCs/>
                <w:sz w:val="20"/>
                <w:szCs w:val="20"/>
              </w:rPr>
              <w:t xml:space="preserve">FP outcomes 2022 </w:t>
            </w:r>
          </w:p>
        </w:tc>
        <w:tc>
          <w:tcPr>
            <w:tcW w:w="1037" w:type="pct"/>
            <w:shd w:val="clear" w:color="auto" w:fill="FFFFFF" w:themeFill="background1"/>
            <w:tcMar>
              <w:top w:w="100" w:type="dxa"/>
              <w:left w:w="100" w:type="dxa"/>
              <w:bottom w:w="100" w:type="dxa"/>
              <w:right w:w="100" w:type="dxa"/>
            </w:tcMar>
          </w:tcPr>
          <w:p w14:paraId="7FCC94DC" w14:textId="77777777" w:rsidR="00363BBC" w:rsidRPr="00DC6810" w:rsidRDefault="00363BBC" w:rsidP="00DC6810">
            <w:pPr>
              <w:shd w:val="clear" w:color="auto" w:fill="FFFFFF" w:themeFill="background1"/>
              <w:rPr>
                <w:rFonts w:asciiTheme="majorHAnsi" w:hAnsiTheme="majorHAnsi" w:cstheme="majorHAnsi"/>
                <w:b/>
                <w:bCs/>
                <w:sz w:val="20"/>
                <w:szCs w:val="20"/>
              </w:rPr>
            </w:pPr>
            <w:r w:rsidRPr="00DC6810">
              <w:rPr>
                <w:rFonts w:asciiTheme="majorHAnsi" w:hAnsiTheme="majorHAnsi" w:cstheme="majorHAnsi"/>
                <w:b/>
                <w:bCs/>
                <w:sz w:val="20"/>
                <w:szCs w:val="20"/>
              </w:rPr>
              <w:t xml:space="preserve">Summary narrative on progress against each FP outcome this year.  </w:t>
            </w:r>
          </w:p>
        </w:tc>
        <w:tc>
          <w:tcPr>
            <w:tcW w:w="915" w:type="pct"/>
            <w:shd w:val="clear" w:color="auto" w:fill="FFFFFF" w:themeFill="background1"/>
            <w:tcMar>
              <w:top w:w="100" w:type="dxa"/>
              <w:left w:w="100" w:type="dxa"/>
              <w:bottom w:w="100" w:type="dxa"/>
              <w:right w:w="100" w:type="dxa"/>
            </w:tcMar>
          </w:tcPr>
          <w:p w14:paraId="6677B95A" w14:textId="77777777" w:rsidR="00363BBC" w:rsidRPr="00DC6810" w:rsidRDefault="00363BBC" w:rsidP="00DC6810">
            <w:pPr>
              <w:shd w:val="clear" w:color="auto" w:fill="FFFFFF" w:themeFill="background1"/>
              <w:rPr>
                <w:rFonts w:asciiTheme="majorHAnsi" w:hAnsiTheme="majorHAnsi" w:cstheme="majorHAnsi"/>
                <w:b/>
                <w:bCs/>
                <w:sz w:val="20"/>
                <w:szCs w:val="20"/>
              </w:rPr>
            </w:pPr>
            <w:r w:rsidRPr="00DC6810">
              <w:rPr>
                <w:rFonts w:asciiTheme="majorHAnsi" w:hAnsiTheme="majorHAnsi" w:cstheme="majorHAnsi"/>
                <w:b/>
                <w:bCs/>
                <w:sz w:val="20"/>
                <w:szCs w:val="20"/>
              </w:rPr>
              <w:t>Milestone</w:t>
            </w:r>
          </w:p>
        </w:tc>
        <w:tc>
          <w:tcPr>
            <w:tcW w:w="884" w:type="pct"/>
            <w:shd w:val="clear" w:color="auto" w:fill="FFFFFF" w:themeFill="background1"/>
            <w:tcMar>
              <w:top w:w="100" w:type="dxa"/>
              <w:left w:w="100" w:type="dxa"/>
              <w:bottom w:w="100" w:type="dxa"/>
              <w:right w:w="100" w:type="dxa"/>
            </w:tcMar>
          </w:tcPr>
          <w:p w14:paraId="1A0E8E3C" w14:textId="77777777" w:rsidR="00363BBC" w:rsidRPr="00DC6810" w:rsidRDefault="00363BBC" w:rsidP="00DC6810">
            <w:pPr>
              <w:shd w:val="clear" w:color="auto" w:fill="FFFFFF" w:themeFill="background1"/>
              <w:rPr>
                <w:rFonts w:asciiTheme="majorHAnsi" w:hAnsiTheme="majorHAnsi" w:cstheme="majorHAnsi"/>
                <w:b/>
                <w:bCs/>
                <w:sz w:val="20"/>
                <w:szCs w:val="20"/>
              </w:rPr>
            </w:pPr>
            <w:r w:rsidRPr="00DC6810">
              <w:rPr>
                <w:rFonts w:asciiTheme="majorHAnsi" w:hAnsiTheme="majorHAnsi" w:cstheme="majorHAnsi"/>
                <w:b/>
                <w:bCs/>
                <w:sz w:val="20"/>
                <w:szCs w:val="20"/>
              </w:rPr>
              <w:t>2019 milestones status (drop down: complete, extended, cancelled or changed)</w:t>
            </w:r>
          </w:p>
        </w:tc>
        <w:tc>
          <w:tcPr>
            <w:tcW w:w="854" w:type="pct"/>
            <w:shd w:val="clear" w:color="auto" w:fill="FFFFFF" w:themeFill="background1"/>
            <w:tcMar>
              <w:top w:w="100" w:type="dxa"/>
              <w:left w:w="100" w:type="dxa"/>
              <w:bottom w:w="100" w:type="dxa"/>
              <w:right w:w="100" w:type="dxa"/>
            </w:tcMar>
          </w:tcPr>
          <w:p w14:paraId="3B7353C9" w14:textId="77777777" w:rsidR="00363BBC" w:rsidRPr="00DC6810" w:rsidRDefault="00363BBC" w:rsidP="00DC6810">
            <w:pPr>
              <w:shd w:val="clear" w:color="auto" w:fill="FFFFFF" w:themeFill="background1"/>
              <w:rPr>
                <w:rFonts w:asciiTheme="majorHAnsi" w:hAnsiTheme="majorHAnsi" w:cstheme="majorHAnsi"/>
                <w:b/>
                <w:bCs/>
                <w:sz w:val="20"/>
                <w:szCs w:val="20"/>
              </w:rPr>
            </w:pPr>
            <w:r w:rsidRPr="00DC6810">
              <w:rPr>
                <w:rFonts w:asciiTheme="majorHAnsi" w:hAnsiTheme="majorHAnsi" w:cstheme="majorHAnsi"/>
                <w:b/>
                <w:bCs/>
                <w:sz w:val="20"/>
                <w:szCs w:val="20"/>
              </w:rPr>
              <w:t>Provide evidence for completed milestones (</w:t>
            </w:r>
            <w:proofErr w:type="gramStart"/>
            <w:r w:rsidRPr="00DC6810">
              <w:rPr>
                <w:rFonts w:asciiTheme="majorHAnsi" w:hAnsiTheme="majorHAnsi" w:cstheme="majorHAnsi"/>
                <w:b/>
                <w:bCs/>
                <w:sz w:val="20"/>
                <w:szCs w:val="20"/>
              </w:rPr>
              <w:t>refer back</w:t>
            </w:r>
            <w:proofErr w:type="gramEnd"/>
            <w:r w:rsidRPr="00DC6810">
              <w:rPr>
                <w:rFonts w:asciiTheme="majorHAnsi" w:hAnsiTheme="majorHAnsi" w:cstheme="majorHAnsi"/>
                <w:b/>
                <w:bCs/>
                <w:sz w:val="20"/>
                <w:szCs w:val="20"/>
              </w:rPr>
              <w:t xml:space="preserve"> to means of verification, and link to evidence wherever possible) or explanation for extended, cancelled or changed.  </w:t>
            </w:r>
          </w:p>
          <w:p w14:paraId="52622481" w14:textId="77777777" w:rsidR="00363BBC" w:rsidRPr="00DC6810" w:rsidRDefault="00363BBC" w:rsidP="00DC6810">
            <w:pPr>
              <w:shd w:val="clear" w:color="auto" w:fill="FFFFFF" w:themeFill="background1"/>
              <w:rPr>
                <w:rFonts w:asciiTheme="majorHAnsi" w:hAnsiTheme="majorHAnsi" w:cstheme="majorHAnsi"/>
                <w:b/>
                <w:bCs/>
                <w:sz w:val="20"/>
                <w:szCs w:val="20"/>
              </w:rPr>
            </w:pPr>
          </w:p>
          <w:p w14:paraId="1A1F4494" w14:textId="77777777" w:rsidR="00363BBC" w:rsidRPr="00DC6810" w:rsidRDefault="00363BBC" w:rsidP="00DC6810">
            <w:pPr>
              <w:shd w:val="clear" w:color="auto" w:fill="FFFFFF" w:themeFill="background1"/>
              <w:rPr>
                <w:rFonts w:asciiTheme="majorHAnsi" w:hAnsiTheme="majorHAnsi" w:cstheme="majorHAnsi"/>
                <w:b/>
                <w:bCs/>
                <w:sz w:val="20"/>
                <w:szCs w:val="20"/>
              </w:rPr>
            </w:pPr>
            <w:r w:rsidRPr="00DC6810">
              <w:rPr>
                <w:rFonts w:asciiTheme="majorHAnsi" w:hAnsiTheme="majorHAnsi" w:cstheme="majorHAnsi"/>
                <w:b/>
                <w:bCs/>
                <w:sz w:val="20"/>
                <w:szCs w:val="20"/>
              </w:rPr>
              <w:t>Max 50 words/milestone</w:t>
            </w:r>
          </w:p>
        </w:tc>
      </w:tr>
      <w:tr w:rsidR="00DC4B6D" w:rsidRPr="00BA16A8" w14:paraId="741F1593" w14:textId="77777777" w:rsidTr="00363BBC">
        <w:trPr>
          <w:trHeight w:val="1080"/>
        </w:trPr>
        <w:tc>
          <w:tcPr>
            <w:tcW w:w="349" w:type="pct"/>
            <w:shd w:val="clear" w:color="auto" w:fill="FFFFFF" w:themeFill="background1"/>
            <w:tcMar>
              <w:top w:w="100" w:type="dxa"/>
              <w:left w:w="100" w:type="dxa"/>
              <w:bottom w:w="100" w:type="dxa"/>
              <w:right w:w="100" w:type="dxa"/>
            </w:tcMar>
          </w:tcPr>
          <w:p w14:paraId="4BD014B1" w14:textId="44525612" w:rsidR="00363BBC" w:rsidRPr="00BA16A8" w:rsidRDefault="00363BBC" w:rsidP="00DC6810">
            <w:pPr>
              <w:shd w:val="clear" w:color="auto" w:fill="FFFFFF" w:themeFill="background1"/>
              <w:rPr>
                <w:rFonts w:asciiTheme="majorHAnsi" w:hAnsiTheme="majorHAnsi" w:cstheme="majorHAnsi"/>
                <w:sz w:val="20"/>
                <w:szCs w:val="20"/>
              </w:rPr>
            </w:pPr>
            <w:r w:rsidRPr="00BA16A8">
              <w:rPr>
                <w:rFonts w:asciiTheme="majorHAnsi" w:hAnsiTheme="majorHAnsi" w:cstheme="majorHAnsi"/>
                <w:sz w:val="20"/>
                <w:szCs w:val="20"/>
              </w:rPr>
              <w:t>1</w:t>
            </w:r>
          </w:p>
        </w:tc>
        <w:tc>
          <w:tcPr>
            <w:tcW w:w="960" w:type="pct"/>
            <w:shd w:val="clear" w:color="auto" w:fill="FFFFFF" w:themeFill="background1"/>
            <w:tcMar>
              <w:top w:w="100" w:type="dxa"/>
              <w:left w:w="100" w:type="dxa"/>
              <w:bottom w:w="100" w:type="dxa"/>
              <w:right w:w="100" w:type="dxa"/>
            </w:tcMar>
          </w:tcPr>
          <w:p w14:paraId="08B69A7A" w14:textId="7D37BE01" w:rsidR="00363BBC" w:rsidRPr="00BA16A8" w:rsidRDefault="00363BBC" w:rsidP="00DC6810">
            <w:pPr>
              <w:shd w:val="clear" w:color="auto" w:fill="FFFFFF" w:themeFill="background1"/>
              <w:ind w:right="100"/>
              <w:rPr>
                <w:rFonts w:asciiTheme="majorHAnsi" w:hAnsiTheme="majorHAnsi" w:cstheme="majorHAnsi"/>
                <w:sz w:val="20"/>
                <w:szCs w:val="20"/>
              </w:rPr>
            </w:pPr>
            <w:r w:rsidRPr="00BA16A8">
              <w:rPr>
                <w:rFonts w:asciiTheme="majorHAnsi" w:hAnsiTheme="majorHAnsi" w:cstheme="majorHAnsi"/>
                <w:sz w:val="20"/>
                <w:szCs w:val="20"/>
              </w:rPr>
              <w:t>Outcome 1. Improved targeting and responsiveness of research to market and household demands in the face of climate change for greater technology adoption, food and nutrition security, resilience, and poverty reduction</w:t>
            </w:r>
          </w:p>
        </w:tc>
        <w:tc>
          <w:tcPr>
            <w:tcW w:w="1037" w:type="pct"/>
            <w:shd w:val="clear" w:color="auto" w:fill="FFFFFF" w:themeFill="background1"/>
            <w:tcMar>
              <w:top w:w="100" w:type="dxa"/>
              <w:left w:w="100" w:type="dxa"/>
              <w:bottom w:w="100" w:type="dxa"/>
              <w:right w:w="100" w:type="dxa"/>
            </w:tcMar>
          </w:tcPr>
          <w:p w14:paraId="1DCAA53F" w14:textId="50FFFA8F" w:rsidR="00363BBC" w:rsidRPr="00BA16A8" w:rsidRDefault="00363BBC" w:rsidP="00DC6810">
            <w:pPr>
              <w:shd w:val="clear" w:color="auto" w:fill="FFFFFF" w:themeFill="background1"/>
              <w:ind w:right="100"/>
              <w:rPr>
                <w:rFonts w:asciiTheme="majorHAnsi" w:hAnsiTheme="majorHAnsi" w:cstheme="majorHAnsi"/>
                <w:sz w:val="20"/>
                <w:szCs w:val="20"/>
                <w:highlight w:val="white"/>
              </w:rPr>
            </w:pPr>
            <w:r w:rsidRPr="00DC6810">
              <w:rPr>
                <w:rFonts w:asciiTheme="majorHAnsi" w:hAnsiTheme="majorHAnsi" w:cstheme="majorHAnsi"/>
                <w:color w:val="000000"/>
                <w:sz w:val="20"/>
                <w:szCs w:val="20"/>
              </w:rPr>
              <w:t>With the priority GLDC crops</w:t>
            </w:r>
            <w:r w:rsidR="00BF2FBF">
              <w:rPr>
                <w:rFonts w:asciiTheme="majorHAnsi" w:hAnsiTheme="majorHAnsi" w:cstheme="majorHAnsi"/>
                <w:color w:val="000000"/>
                <w:sz w:val="20"/>
                <w:szCs w:val="20"/>
              </w:rPr>
              <w:t xml:space="preserve">, </w:t>
            </w:r>
            <w:r w:rsidRPr="00DC6810">
              <w:rPr>
                <w:rFonts w:asciiTheme="majorHAnsi" w:hAnsiTheme="majorHAnsi" w:cstheme="majorHAnsi"/>
                <w:color w:val="000000"/>
                <w:sz w:val="20"/>
                <w:szCs w:val="20"/>
              </w:rPr>
              <w:t>countries</w:t>
            </w:r>
            <w:r w:rsidR="00BF2FBF">
              <w:rPr>
                <w:rFonts w:asciiTheme="majorHAnsi" w:hAnsiTheme="majorHAnsi" w:cstheme="majorHAnsi"/>
                <w:color w:val="000000"/>
                <w:sz w:val="20"/>
                <w:szCs w:val="20"/>
              </w:rPr>
              <w:t>, and lines of research</w:t>
            </w:r>
            <w:r w:rsidRPr="00DC6810">
              <w:rPr>
                <w:rFonts w:asciiTheme="majorHAnsi" w:hAnsiTheme="majorHAnsi" w:cstheme="majorHAnsi"/>
                <w:color w:val="000000"/>
                <w:sz w:val="20"/>
                <w:szCs w:val="20"/>
              </w:rPr>
              <w:t xml:space="preserve"> identified based largely on the initial foresight and ex-ante impact evaluation work, </w:t>
            </w:r>
            <w:r w:rsidR="00BF2FBF">
              <w:rPr>
                <w:rFonts w:asciiTheme="majorHAnsi" w:hAnsiTheme="majorHAnsi" w:cstheme="majorHAnsi"/>
                <w:color w:val="000000"/>
                <w:sz w:val="20"/>
                <w:szCs w:val="20"/>
              </w:rPr>
              <w:t xml:space="preserve">the subsequent multi-criteria ex-ante impact evaluations are providing a sound decision support to </w:t>
            </w:r>
            <w:r w:rsidRPr="00DC6810">
              <w:rPr>
                <w:rFonts w:asciiTheme="majorHAnsi" w:hAnsiTheme="majorHAnsi" w:cstheme="majorHAnsi"/>
                <w:color w:val="000000"/>
                <w:sz w:val="20"/>
                <w:szCs w:val="20"/>
              </w:rPr>
              <w:t>enhance the targeting, responsiveness, and impacts of GLDC research</w:t>
            </w:r>
          </w:p>
        </w:tc>
        <w:tc>
          <w:tcPr>
            <w:tcW w:w="915" w:type="pct"/>
            <w:shd w:val="clear" w:color="auto" w:fill="FFFFFF" w:themeFill="background1"/>
            <w:tcMar>
              <w:top w:w="100" w:type="dxa"/>
              <w:left w:w="100" w:type="dxa"/>
              <w:bottom w:w="100" w:type="dxa"/>
              <w:right w:w="100" w:type="dxa"/>
            </w:tcMar>
          </w:tcPr>
          <w:p w14:paraId="02322627" w14:textId="7DC9FB56" w:rsidR="00363BBC" w:rsidRPr="00BA16A8" w:rsidRDefault="00363BBC" w:rsidP="00DC6810">
            <w:pPr>
              <w:shd w:val="clear" w:color="auto" w:fill="FFFFFF" w:themeFill="background1"/>
              <w:ind w:right="100"/>
              <w:rPr>
                <w:rFonts w:asciiTheme="majorHAnsi" w:hAnsiTheme="majorHAnsi" w:cstheme="majorHAnsi"/>
                <w:sz w:val="20"/>
                <w:szCs w:val="20"/>
              </w:rPr>
            </w:pPr>
            <w:r w:rsidRPr="00BA16A8">
              <w:rPr>
                <w:rFonts w:asciiTheme="majorHAnsi" w:hAnsiTheme="majorHAnsi" w:cstheme="majorHAnsi"/>
                <w:color w:val="000000"/>
                <w:sz w:val="20"/>
                <w:szCs w:val="20"/>
              </w:rPr>
              <w:t>Ex-ante evaluation of GLDC research and technology options completed and working papers published on the potential poverty and nutrition security impacts to guide priority setting</w:t>
            </w:r>
          </w:p>
        </w:tc>
        <w:tc>
          <w:tcPr>
            <w:tcW w:w="884" w:type="pct"/>
            <w:shd w:val="clear" w:color="auto" w:fill="FFFFFF" w:themeFill="background1"/>
            <w:tcMar>
              <w:top w:w="100" w:type="dxa"/>
              <w:left w:w="100" w:type="dxa"/>
              <w:bottom w:w="100" w:type="dxa"/>
              <w:right w:w="100" w:type="dxa"/>
            </w:tcMar>
          </w:tcPr>
          <w:p w14:paraId="58EE457D" w14:textId="56A5A713" w:rsidR="00363BBC" w:rsidRPr="00BA16A8" w:rsidRDefault="00363BBC" w:rsidP="00DC6810">
            <w:pPr>
              <w:shd w:val="clear" w:color="auto" w:fill="FFFFFF" w:themeFill="background1"/>
              <w:rPr>
                <w:rFonts w:asciiTheme="majorHAnsi" w:hAnsiTheme="majorHAnsi" w:cstheme="majorHAnsi"/>
                <w:sz w:val="20"/>
                <w:szCs w:val="20"/>
              </w:rPr>
            </w:pPr>
            <w:r>
              <w:rPr>
                <w:rFonts w:asciiTheme="majorHAnsi" w:hAnsiTheme="majorHAnsi" w:cstheme="majorHAnsi"/>
                <w:sz w:val="20"/>
                <w:szCs w:val="20"/>
              </w:rPr>
              <w:t>Extended</w:t>
            </w:r>
          </w:p>
        </w:tc>
        <w:tc>
          <w:tcPr>
            <w:tcW w:w="854" w:type="pct"/>
            <w:shd w:val="clear" w:color="auto" w:fill="FFFFFF" w:themeFill="background1"/>
            <w:tcMar>
              <w:top w:w="100" w:type="dxa"/>
              <w:left w:w="100" w:type="dxa"/>
              <w:bottom w:w="100" w:type="dxa"/>
              <w:right w:w="100" w:type="dxa"/>
            </w:tcMar>
          </w:tcPr>
          <w:p w14:paraId="365DE8F9" w14:textId="135CD990" w:rsidR="0078309E" w:rsidRDefault="0031425D" w:rsidP="00DC6810">
            <w:pPr>
              <w:shd w:val="clear" w:color="auto" w:fill="FFFFFF" w:themeFill="background1"/>
              <w:rPr>
                <w:rFonts w:asciiTheme="majorHAnsi" w:hAnsiTheme="majorHAnsi" w:cstheme="majorHAnsi"/>
                <w:sz w:val="20"/>
                <w:szCs w:val="20"/>
              </w:rPr>
            </w:pPr>
            <w:r>
              <w:rPr>
                <w:rFonts w:asciiTheme="majorHAnsi" w:hAnsiTheme="majorHAnsi" w:cstheme="majorHAnsi"/>
                <w:sz w:val="20"/>
                <w:szCs w:val="20"/>
              </w:rPr>
              <w:t>Ex-ante evaluations completed</w:t>
            </w:r>
            <w:r w:rsidR="00484AAC">
              <w:rPr>
                <w:rFonts w:asciiTheme="majorHAnsi" w:hAnsiTheme="majorHAnsi" w:cstheme="majorHAnsi"/>
                <w:sz w:val="20"/>
                <w:szCs w:val="20"/>
              </w:rPr>
              <w:t xml:space="preserve"> </w:t>
            </w:r>
            <w:hyperlink r:id="rId23" w:history="1">
              <w:r w:rsidR="0078309E" w:rsidRPr="00476392">
                <w:rPr>
                  <w:rStyle w:val="Hyperlink"/>
                  <w:rFonts w:asciiTheme="majorHAnsi" w:hAnsiTheme="majorHAnsi" w:cstheme="majorHAnsi"/>
                  <w:sz w:val="20"/>
                  <w:szCs w:val="20"/>
                </w:rPr>
                <w:t>https://hdl.handle.net/20.500.11766/9469</w:t>
              </w:r>
            </w:hyperlink>
            <w:r w:rsidR="0078309E">
              <w:rPr>
                <w:rFonts w:asciiTheme="majorHAnsi" w:hAnsiTheme="majorHAnsi" w:cstheme="majorHAnsi"/>
                <w:sz w:val="20"/>
                <w:szCs w:val="20"/>
              </w:rPr>
              <w:t>;</w:t>
            </w:r>
            <w:r w:rsidR="0078309E" w:rsidRPr="0078309E">
              <w:rPr>
                <w:rFonts w:asciiTheme="majorHAnsi" w:hAnsiTheme="majorHAnsi" w:cstheme="majorHAnsi"/>
                <w:sz w:val="20"/>
                <w:szCs w:val="20"/>
              </w:rPr>
              <w:t xml:space="preserve"> </w:t>
            </w:r>
          </w:p>
          <w:p w14:paraId="2BDA8B7A" w14:textId="08DDFA1C" w:rsidR="00363BBC" w:rsidRDefault="0078309E" w:rsidP="00DC6810">
            <w:pPr>
              <w:shd w:val="clear" w:color="auto" w:fill="FFFFFF" w:themeFill="background1"/>
              <w:rPr>
                <w:rFonts w:asciiTheme="majorHAnsi" w:hAnsiTheme="majorHAnsi" w:cstheme="majorHAnsi"/>
                <w:sz w:val="20"/>
                <w:szCs w:val="20"/>
              </w:rPr>
            </w:pPr>
            <w:r>
              <w:rPr>
                <w:rFonts w:asciiTheme="majorHAnsi" w:hAnsiTheme="majorHAnsi" w:cstheme="majorHAnsi"/>
                <w:sz w:val="20"/>
                <w:szCs w:val="20"/>
              </w:rPr>
              <w:t>(</w:t>
            </w:r>
            <w:hyperlink r:id="rId24" w:history="1">
              <w:r w:rsidRPr="00476392">
                <w:rPr>
                  <w:rStyle w:val="Hyperlink"/>
                  <w:rFonts w:asciiTheme="majorHAnsi" w:hAnsiTheme="majorHAnsi" w:cstheme="majorHAnsi"/>
                  <w:sz w:val="20"/>
                  <w:szCs w:val="20"/>
                </w:rPr>
                <w:t>https://hdl.handle.net/20.500.11766/10874</w:t>
              </w:r>
            </w:hyperlink>
            <w:r>
              <w:rPr>
                <w:rFonts w:asciiTheme="majorHAnsi" w:hAnsiTheme="majorHAnsi" w:cstheme="majorHAnsi"/>
                <w:sz w:val="20"/>
                <w:szCs w:val="20"/>
              </w:rPr>
              <w:t>)</w:t>
            </w:r>
            <w:r w:rsidR="0031425D">
              <w:rPr>
                <w:rFonts w:asciiTheme="majorHAnsi" w:hAnsiTheme="majorHAnsi" w:cstheme="majorHAnsi"/>
                <w:sz w:val="20"/>
                <w:szCs w:val="20"/>
              </w:rPr>
              <w:t>,</w:t>
            </w:r>
            <w:r>
              <w:rPr>
                <w:rFonts w:asciiTheme="majorHAnsi" w:hAnsiTheme="majorHAnsi" w:cstheme="majorHAnsi"/>
                <w:sz w:val="20"/>
                <w:szCs w:val="20"/>
              </w:rPr>
              <w:t xml:space="preserve"> </w:t>
            </w:r>
            <w:r w:rsidR="0031425D">
              <w:rPr>
                <w:rFonts w:asciiTheme="majorHAnsi" w:hAnsiTheme="majorHAnsi" w:cstheme="majorHAnsi"/>
                <w:sz w:val="20"/>
                <w:szCs w:val="20"/>
              </w:rPr>
              <w:t>but the</w:t>
            </w:r>
            <w:r w:rsidR="00E07C87">
              <w:rPr>
                <w:rFonts w:asciiTheme="majorHAnsi" w:hAnsiTheme="majorHAnsi" w:cstheme="majorHAnsi"/>
                <w:sz w:val="20"/>
                <w:szCs w:val="20"/>
              </w:rPr>
              <w:t xml:space="preserve"> preparation of papers </w:t>
            </w:r>
            <w:r w:rsidR="00532AE4">
              <w:rPr>
                <w:rFonts w:asciiTheme="majorHAnsi" w:hAnsiTheme="majorHAnsi" w:cstheme="majorHAnsi"/>
                <w:sz w:val="20"/>
                <w:szCs w:val="20"/>
              </w:rPr>
              <w:t xml:space="preserve">is still underway before </w:t>
            </w:r>
            <w:r w:rsidR="00E07C87">
              <w:rPr>
                <w:rFonts w:asciiTheme="majorHAnsi" w:hAnsiTheme="majorHAnsi" w:cstheme="majorHAnsi"/>
                <w:sz w:val="20"/>
                <w:szCs w:val="20"/>
              </w:rPr>
              <w:t>submission to journals</w:t>
            </w:r>
            <w:hyperlink r:id="rId25" w:history="1"/>
          </w:p>
          <w:p w14:paraId="47ECA367" w14:textId="4C4FC8E3" w:rsidR="00E07C87" w:rsidRPr="00BA16A8" w:rsidRDefault="00E07C87" w:rsidP="00DC6810">
            <w:pPr>
              <w:shd w:val="clear" w:color="auto" w:fill="FFFFFF" w:themeFill="background1"/>
              <w:rPr>
                <w:rFonts w:asciiTheme="majorHAnsi" w:hAnsiTheme="majorHAnsi" w:cstheme="majorHAnsi"/>
                <w:sz w:val="20"/>
                <w:szCs w:val="20"/>
              </w:rPr>
            </w:pPr>
          </w:p>
        </w:tc>
      </w:tr>
      <w:tr w:rsidR="00DC4B6D" w:rsidRPr="00BA16A8" w14:paraId="4DDD7806" w14:textId="77777777" w:rsidTr="00392CE1">
        <w:trPr>
          <w:trHeight w:val="430"/>
        </w:trPr>
        <w:tc>
          <w:tcPr>
            <w:tcW w:w="349" w:type="pct"/>
            <w:shd w:val="clear" w:color="auto" w:fill="FFFFFF" w:themeFill="background1"/>
            <w:tcMar>
              <w:top w:w="100" w:type="dxa"/>
              <w:left w:w="100" w:type="dxa"/>
              <w:bottom w:w="100" w:type="dxa"/>
              <w:right w:w="100" w:type="dxa"/>
            </w:tcMar>
          </w:tcPr>
          <w:p w14:paraId="358B74C6" w14:textId="30AB8C4C" w:rsidR="00363BBC" w:rsidRPr="00BA16A8" w:rsidRDefault="00363BBC" w:rsidP="0039146C">
            <w:pPr>
              <w:shd w:val="clear" w:color="auto" w:fill="FFFFFF" w:themeFill="background1"/>
              <w:rPr>
                <w:rFonts w:asciiTheme="majorHAnsi" w:hAnsiTheme="majorHAnsi" w:cstheme="majorHAnsi"/>
                <w:sz w:val="20"/>
                <w:szCs w:val="20"/>
              </w:rPr>
            </w:pPr>
            <w:r w:rsidRPr="00BA16A8">
              <w:rPr>
                <w:rFonts w:asciiTheme="majorHAnsi" w:hAnsiTheme="majorHAnsi" w:cstheme="majorHAnsi"/>
                <w:sz w:val="20"/>
                <w:szCs w:val="20"/>
              </w:rPr>
              <w:t>1</w:t>
            </w:r>
          </w:p>
        </w:tc>
        <w:tc>
          <w:tcPr>
            <w:tcW w:w="960" w:type="pct"/>
            <w:shd w:val="clear" w:color="auto" w:fill="FFFFFF" w:themeFill="background1"/>
            <w:tcMar>
              <w:top w:w="100" w:type="dxa"/>
              <w:left w:w="100" w:type="dxa"/>
              <w:bottom w:w="100" w:type="dxa"/>
              <w:right w:w="100" w:type="dxa"/>
            </w:tcMar>
          </w:tcPr>
          <w:p w14:paraId="420B9DA1" w14:textId="72A7A89D" w:rsidR="00363BBC" w:rsidRPr="00BA16A8" w:rsidRDefault="00363BBC" w:rsidP="0039146C">
            <w:pPr>
              <w:shd w:val="clear" w:color="auto" w:fill="FFFFFF" w:themeFill="background1"/>
              <w:ind w:right="100"/>
              <w:rPr>
                <w:rFonts w:asciiTheme="majorHAnsi" w:hAnsiTheme="majorHAnsi" w:cstheme="majorHAnsi"/>
                <w:sz w:val="20"/>
                <w:szCs w:val="20"/>
              </w:rPr>
            </w:pPr>
            <w:r w:rsidRPr="00BA16A8">
              <w:rPr>
                <w:rFonts w:asciiTheme="majorHAnsi" w:hAnsiTheme="majorHAnsi" w:cstheme="majorHAnsi"/>
                <w:sz w:val="20"/>
                <w:szCs w:val="20"/>
              </w:rPr>
              <w:t xml:space="preserve">Outcome 2. Market and household demand </w:t>
            </w:r>
            <w:proofErr w:type="gramStart"/>
            <w:r w:rsidRPr="00BA16A8">
              <w:rPr>
                <w:rFonts w:asciiTheme="majorHAnsi" w:hAnsiTheme="majorHAnsi" w:cstheme="majorHAnsi"/>
                <w:sz w:val="20"/>
                <w:szCs w:val="20"/>
              </w:rPr>
              <w:t>identified</w:t>
            </w:r>
            <w:proofErr w:type="gramEnd"/>
            <w:r w:rsidRPr="00BA16A8">
              <w:rPr>
                <w:rFonts w:asciiTheme="majorHAnsi" w:hAnsiTheme="majorHAnsi" w:cstheme="majorHAnsi"/>
                <w:sz w:val="20"/>
                <w:szCs w:val="20"/>
              </w:rPr>
              <w:t xml:space="preserve"> and trade-offs assessed for more inclusive value chains that improve income and nutrition status in target regions</w:t>
            </w:r>
          </w:p>
        </w:tc>
        <w:tc>
          <w:tcPr>
            <w:tcW w:w="1037" w:type="pct"/>
            <w:shd w:val="clear" w:color="auto" w:fill="FFFFFF" w:themeFill="background1"/>
            <w:tcMar>
              <w:top w:w="100" w:type="dxa"/>
              <w:left w:w="100" w:type="dxa"/>
              <w:bottom w:w="100" w:type="dxa"/>
              <w:right w:w="100" w:type="dxa"/>
            </w:tcMar>
          </w:tcPr>
          <w:p w14:paraId="07BF4744" w14:textId="3E1A433A" w:rsidR="00363BBC" w:rsidRPr="00ED07C1" w:rsidRDefault="0063014D" w:rsidP="0039146C">
            <w:pPr>
              <w:shd w:val="clear" w:color="auto" w:fill="FFFFFF" w:themeFill="background1"/>
              <w:ind w:right="100"/>
              <w:rPr>
                <w:rFonts w:asciiTheme="majorHAnsi" w:hAnsiTheme="majorHAnsi" w:cstheme="majorHAnsi"/>
                <w:color w:val="000000"/>
                <w:sz w:val="20"/>
                <w:szCs w:val="20"/>
              </w:rPr>
            </w:pPr>
            <w:r>
              <w:rPr>
                <w:rFonts w:asciiTheme="majorHAnsi" w:hAnsiTheme="majorHAnsi" w:cstheme="majorHAnsi"/>
                <w:color w:val="000000"/>
                <w:sz w:val="20"/>
                <w:szCs w:val="20"/>
              </w:rPr>
              <w:t>T</w:t>
            </w:r>
            <w:r w:rsidR="00363BBC" w:rsidRPr="00ED07C1">
              <w:rPr>
                <w:rFonts w:asciiTheme="majorHAnsi" w:hAnsiTheme="majorHAnsi" w:cstheme="majorHAnsi"/>
                <w:color w:val="000000"/>
                <w:sz w:val="20"/>
                <w:szCs w:val="20"/>
              </w:rPr>
              <w:t xml:space="preserve">he work </w:t>
            </w:r>
            <w:r>
              <w:rPr>
                <w:rFonts w:asciiTheme="majorHAnsi" w:hAnsiTheme="majorHAnsi" w:cstheme="majorHAnsi"/>
                <w:color w:val="000000"/>
                <w:sz w:val="20"/>
                <w:szCs w:val="20"/>
              </w:rPr>
              <w:t>on</w:t>
            </w:r>
            <w:r w:rsidR="00363BBC" w:rsidRPr="00ED07C1">
              <w:rPr>
                <w:rFonts w:asciiTheme="majorHAnsi" w:hAnsiTheme="majorHAnsi" w:cstheme="majorHAnsi"/>
                <w:color w:val="000000"/>
                <w:sz w:val="20"/>
                <w:szCs w:val="20"/>
              </w:rPr>
              <w:t xml:space="preserve"> household aspirations </w:t>
            </w:r>
            <w:r>
              <w:rPr>
                <w:rFonts w:asciiTheme="majorHAnsi" w:hAnsiTheme="majorHAnsi" w:cstheme="majorHAnsi"/>
                <w:color w:val="000000"/>
                <w:sz w:val="20"/>
                <w:szCs w:val="20"/>
              </w:rPr>
              <w:t xml:space="preserve">is helping </w:t>
            </w:r>
            <w:r w:rsidR="00363BBC" w:rsidRPr="00ED07C1">
              <w:rPr>
                <w:rFonts w:asciiTheme="majorHAnsi" w:hAnsiTheme="majorHAnsi" w:cstheme="majorHAnsi"/>
                <w:color w:val="000000"/>
                <w:sz w:val="20"/>
                <w:szCs w:val="20"/>
              </w:rPr>
              <w:t>to better identify end-user demands and profiles</w:t>
            </w:r>
            <w:r>
              <w:rPr>
                <w:rFonts w:asciiTheme="majorHAnsi" w:hAnsiTheme="majorHAnsi" w:cstheme="majorHAnsi"/>
                <w:color w:val="000000"/>
                <w:sz w:val="20"/>
                <w:szCs w:val="20"/>
              </w:rPr>
              <w:t xml:space="preserve"> and build on what has been documented in several </w:t>
            </w:r>
            <w:r w:rsidRPr="00ED07C1">
              <w:rPr>
                <w:rFonts w:asciiTheme="majorHAnsi" w:hAnsiTheme="majorHAnsi" w:cstheme="majorHAnsi"/>
                <w:color w:val="000000"/>
                <w:sz w:val="20"/>
                <w:szCs w:val="20"/>
              </w:rPr>
              <w:t xml:space="preserve">market and value chain studies </w:t>
            </w:r>
            <w:r>
              <w:rPr>
                <w:rFonts w:asciiTheme="majorHAnsi" w:hAnsiTheme="majorHAnsi" w:cstheme="majorHAnsi"/>
                <w:color w:val="000000"/>
                <w:sz w:val="20"/>
                <w:szCs w:val="20"/>
              </w:rPr>
              <w:t>in terms of</w:t>
            </w:r>
            <w:r w:rsidRPr="00ED07C1">
              <w:rPr>
                <w:rFonts w:asciiTheme="majorHAnsi" w:hAnsiTheme="majorHAnsi" w:cstheme="majorHAnsi"/>
                <w:color w:val="000000"/>
                <w:sz w:val="20"/>
                <w:szCs w:val="20"/>
              </w:rPr>
              <w:t xml:space="preserve"> market and household demands and preferences</w:t>
            </w:r>
            <w:r>
              <w:rPr>
                <w:rFonts w:asciiTheme="majorHAnsi" w:hAnsiTheme="majorHAnsi" w:cstheme="majorHAnsi"/>
                <w:color w:val="000000"/>
                <w:sz w:val="20"/>
                <w:szCs w:val="20"/>
              </w:rPr>
              <w:t>.</w:t>
            </w:r>
          </w:p>
        </w:tc>
        <w:tc>
          <w:tcPr>
            <w:tcW w:w="915" w:type="pct"/>
            <w:shd w:val="clear" w:color="auto" w:fill="FFFFFF" w:themeFill="background1"/>
            <w:tcMar>
              <w:top w:w="100" w:type="dxa"/>
              <w:left w:w="100" w:type="dxa"/>
              <w:bottom w:w="100" w:type="dxa"/>
              <w:right w:w="100" w:type="dxa"/>
            </w:tcMar>
          </w:tcPr>
          <w:p w14:paraId="501DB399" w14:textId="70293957" w:rsidR="00363BBC" w:rsidRPr="00BA16A8" w:rsidRDefault="00363BBC" w:rsidP="0039146C">
            <w:pPr>
              <w:shd w:val="clear" w:color="auto" w:fill="FFFFFF" w:themeFill="background1"/>
              <w:ind w:right="100"/>
              <w:rPr>
                <w:rFonts w:asciiTheme="majorHAnsi" w:hAnsiTheme="majorHAnsi" w:cstheme="majorHAnsi"/>
                <w:sz w:val="20"/>
                <w:szCs w:val="20"/>
              </w:rPr>
            </w:pPr>
            <w:r w:rsidRPr="00BA16A8">
              <w:rPr>
                <w:rFonts w:asciiTheme="majorHAnsi" w:hAnsiTheme="majorHAnsi" w:cstheme="majorHAnsi"/>
                <w:color w:val="000000"/>
                <w:sz w:val="20"/>
                <w:szCs w:val="20"/>
              </w:rPr>
              <w:t>Shared learning across GLDC stakeholders and FPs on implications of diverse targets</w:t>
            </w:r>
            <w:r w:rsidR="007E1FD9">
              <w:rPr>
                <w:rFonts w:asciiTheme="majorHAnsi" w:hAnsiTheme="majorHAnsi" w:cstheme="majorHAnsi"/>
                <w:color w:val="000000"/>
                <w:sz w:val="20"/>
                <w:szCs w:val="20"/>
              </w:rPr>
              <w:t>,</w:t>
            </w:r>
            <w:r w:rsidRPr="00BA16A8">
              <w:rPr>
                <w:rFonts w:asciiTheme="majorHAnsi" w:hAnsiTheme="majorHAnsi" w:cstheme="majorHAnsi"/>
                <w:color w:val="000000"/>
                <w:sz w:val="20"/>
                <w:szCs w:val="20"/>
              </w:rPr>
              <w:t xml:space="preserve"> aspirations</w:t>
            </w:r>
            <w:r w:rsidR="007E1FD9">
              <w:rPr>
                <w:rFonts w:asciiTheme="majorHAnsi" w:hAnsiTheme="majorHAnsi" w:cstheme="majorHAnsi"/>
                <w:color w:val="000000"/>
                <w:sz w:val="20"/>
                <w:szCs w:val="20"/>
              </w:rPr>
              <w:t>,</w:t>
            </w:r>
            <w:r w:rsidRPr="00BA16A8">
              <w:rPr>
                <w:rFonts w:asciiTheme="majorHAnsi" w:hAnsiTheme="majorHAnsi" w:cstheme="majorHAnsi"/>
                <w:color w:val="000000"/>
                <w:sz w:val="20"/>
                <w:szCs w:val="20"/>
              </w:rPr>
              <w:t xml:space="preserve"> and future scenarios leading to strategic adjustments</w:t>
            </w:r>
          </w:p>
        </w:tc>
        <w:tc>
          <w:tcPr>
            <w:tcW w:w="884" w:type="pct"/>
            <w:shd w:val="clear" w:color="auto" w:fill="FFFFFF" w:themeFill="background1"/>
            <w:tcMar>
              <w:top w:w="100" w:type="dxa"/>
              <w:left w:w="100" w:type="dxa"/>
              <w:bottom w:w="100" w:type="dxa"/>
              <w:right w:w="100" w:type="dxa"/>
            </w:tcMar>
          </w:tcPr>
          <w:p w14:paraId="1E7FE1C1" w14:textId="283746E3" w:rsidR="00363BBC" w:rsidRPr="00BA16A8" w:rsidRDefault="006B5D0F" w:rsidP="0039146C">
            <w:pPr>
              <w:shd w:val="clear" w:color="auto" w:fill="FFFFFF" w:themeFill="background1"/>
              <w:rPr>
                <w:rFonts w:asciiTheme="majorHAnsi" w:hAnsiTheme="majorHAnsi" w:cstheme="majorHAnsi"/>
                <w:sz w:val="20"/>
                <w:szCs w:val="20"/>
              </w:rPr>
            </w:pPr>
            <w:r>
              <w:rPr>
                <w:rFonts w:asciiTheme="majorHAnsi" w:hAnsiTheme="majorHAnsi" w:cstheme="majorHAnsi"/>
                <w:sz w:val="20"/>
                <w:szCs w:val="20"/>
              </w:rPr>
              <w:t>Complete</w:t>
            </w:r>
          </w:p>
        </w:tc>
        <w:tc>
          <w:tcPr>
            <w:tcW w:w="854" w:type="pct"/>
            <w:shd w:val="clear" w:color="auto" w:fill="FFFFFF" w:themeFill="background1"/>
            <w:tcMar>
              <w:top w:w="100" w:type="dxa"/>
              <w:left w:w="100" w:type="dxa"/>
              <w:bottom w:w="100" w:type="dxa"/>
              <w:right w:w="100" w:type="dxa"/>
            </w:tcMar>
          </w:tcPr>
          <w:p w14:paraId="0FFD45D1" w14:textId="2BEC9DA2" w:rsidR="00FA3638" w:rsidRDefault="005345C3" w:rsidP="0039146C">
            <w:pPr>
              <w:shd w:val="clear" w:color="auto" w:fill="FFFFFF" w:themeFill="background1"/>
              <w:rPr>
                <w:rStyle w:val="Hyperlink"/>
                <w:rFonts w:asciiTheme="majorHAnsi" w:hAnsiTheme="majorHAnsi" w:cstheme="majorHAnsi"/>
                <w:sz w:val="20"/>
                <w:szCs w:val="20"/>
              </w:rPr>
            </w:pPr>
            <w:hyperlink r:id="rId26" w:history="1">
              <w:r w:rsidR="00FA3638" w:rsidRPr="004C541C">
                <w:rPr>
                  <w:rStyle w:val="Hyperlink"/>
                  <w:rFonts w:asciiTheme="majorHAnsi" w:hAnsiTheme="majorHAnsi" w:cstheme="majorHAnsi"/>
                  <w:sz w:val="20"/>
                  <w:szCs w:val="20"/>
                </w:rPr>
                <w:t>https://hdl.handle.net/20.500.11766/10592</w:t>
              </w:r>
            </w:hyperlink>
          </w:p>
          <w:p w14:paraId="5DAED614" w14:textId="77777777" w:rsidR="00FA3638" w:rsidRDefault="00FA3638" w:rsidP="0039146C">
            <w:pPr>
              <w:shd w:val="clear" w:color="auto" w:fill="FFFFFF" w:themeFill="background1"/>
              <w:rPr>
                <w:rStyle w:val="Hyperlink"/>
                <w:rFonts w:asciiTheme="majorHAnsi" w:hAnsiTheme="majorHAnsi" w:cstheme="majorHAnsi"/>
                <w:sz w:val="20"/>
                <w:szCs w:val="20"/>
              </w:rPr>
            </w:pPr>
          </w:p>
          <w:p w14:paraId="3D523BF3" w14:textId="7EB6BAD4" w:rsidR="007E1FD9" w:rsidRPr="001B57F5" w:rsidRDefault="005345C3" w:rsidP="0039146C">
            <w:pPr>
              <w:shd w:val="clear" w:color="auto" w:fill="FFFFFF" w:themeFill="background1"/>
              <w:rPr>
                <w:rStyle w:val="Hyperlink"/>
                <w:rFonts w:asciiTheme="majorHAnsi" w:hAnsiTheme="majorHAnsi" w:cstheme="majorHAnsi"/>
                <w:sz w:val="20"/>
                <w:szCs w:val="20"/>
              </w:rPr>
            </w:pPr>
            <w:hyperlink r:id="rId27" w:history="1">
              <w:r w:rsidR="00FA3638" w:rsidRPr="004C541C">
                <w:rPr>
                  <w:rStyle w:val="Hyperlink"/>
                  <w:rFonts w:asciiTheme="majorHAnsi" w:hAnsiTheme="majorHAnsi" w:cstheme="majorHAnsi"/>
                  <w:sz w:val="20"/>
                  <w:szCs w:val="20"/>
                </w:rPr>
                <w:t>https://hdl.handle.net/20.500.11766/10058</w:t>
              </w:r>
            </w:hyperlink>
          </w:p>
          <w:p w14:paraId="5EBF1735" w14:textId="77777777" w:rsidR="001B57F5" w:rsidRPr="001B57F5" w:rsidRDefault="001B57F5" w:rsidP="0039146C">
            <w:pPr>
              <w:shd w:val="clear" w:color="auto" w:fill="FFFFFF" w:themeFill="background1"/>
              <w:rPr>
                <w:rStyle w:val="Hyperlink"/>
                <w:rFonts w:asciiTheme="majorHAnsi" w:hAnsiTheme="majorHAnsi" w:cstheme="majorHAnsi"/>
                <w:sz w:val="20"/>
                <w:szCs w:val="20"/>
              </w:rPr>
            </w:pPr>
          </w:p>
          <w:p w14:paraId="2DC2AF2D" w14:textId="77777777" w:rsidR="007E1FD9" w:rsidRPr="001B57F5" w:rsidRDefault="005345C3" w:rsidP="0039146C">
            <w:pPr>
              <w:shd w:val="clear" w:color="auto" w:fill="FFFFFF" w:themeFill="background1"/>
              <w:rPr>
                <w:rStyle w:val="Hyperlink"/>
              </w:rPr>
            </w:pPr>
            <w:hyperlink r:id="rId28" w:history="1">
              <w:r w:rsidR="007E1FD9" w:rsidRPr="007E1FD9">
                <w:rPr>
                  <w:rStyle w:val="Hyperlink"/>
                  <w:rFonts w:asciiTheme="majorHAnsi" w:hAnsiTheme="majorHAnsi" w:cstheme="majorHAnsi"/>
                  <w:sz w:val="20"/>
                  <w:szCs w:val="20"/>
                </w:rPr>
                <w:t>https://doi.org/10.1177%2F0030727019888513</w:t>
              </w:r>
            </w:hyperlink>
          </w:p>
          <w:p w14:paraId="14467CCF" w14:textId="77777777" w:rsidR="007E1FD9" w:rsidRPr="001B57F5" w:rsidRDefault="007E1FD9" w:rsidP="0039146C">
            <w:pPr>
              <w:shd w:val="clear" w:color="auto" w:fill="FFFFFF" w:themeFill="background1"/>
              <w:rPr>
                <w:rStyle w:val="Hyperlink"/>
              </w:rPr>
            </w:pPr>
          </w:p>
          <w:p w14:paraId="2F3B367D" w14:textId="77777777" w:rsidR="007E1FD9" w:rsidRDefault="005345C3" w:rsidP="0039146C">
            <w:pPr>
              <w:shd w:val="clear" w:color="auto" w:fill="FFFFFF" w:themeFill="background1"/>
              <w:rPr>
                <w:rStyle w:val="Hyperlink"/>
                <w:rFonts w:asciiTheme="majorHAnsi" w:hAnsiTheme="majorHAnsi" w:cstheme="majorHAnsi"/>
                <w:sz w:val="20"/>
                <w:szCs w:val="20"/>
              </w:rPr>
            </w:pPr>
            <w:hyperlink r:id="rId29" w:history="1">
              <w:r w:rsidR="007E1FD9" w:rsidRPr="007E1FD9">
                <w:rPr>
                  <w:rStyle w:val="Hyperlink"/>
                  <w:rFonts w:asciiTheme="majorHAnsi" w:hAnsiTheme="majorHAnsi" w:cstheme="majorHAnsi"/>
                  <w:sz w:val="20"/>
                  <w:szCs w:val="20"/>
                </w:rPr>
                <w:t>https://theconversation.com/can-african-smallholders-farm-themselves-out-of-poverty-126692</w:t>
              </w:r>
            </w:hyperlink>
          </w:p>
          <w:p w14:paraId="3CE08639" w14:textId="77777777" w:rsidR="00402B8E" w:rsidRDefault="00402B8E" w:rsidP="0039146C">
            <w:pPr>
              <w:shd w:val="clear" w:color="auto" w:fill="FFFFFF" w:themeFill="background1"/>
              <w:rPr>
                <w:rStyle w:val="Hyperlink"/>
                <w:rFonts w:asciiTheme="majorHAnsi" w:hAnsiTheme="majorHAnsi" w:cstheme="majorHAnsi"/>
                <w:sz w:val="20"/>
                <w:szCs w:val="20"/>
              </w:rPr>
            </w:pPr>
          </w:p>
          <w:p w14:paraId="3A065515" w14:textId="4B3E2DEF" w:rsidR="00402B8E" w:rsidRPr="001B57F5" w:rsidRDefault="005345C3" w:rsidP="0039146C">
            <w:pPr>
              <w:shd w:val="clear" w:color="auto" w:fill="FFFFFF" w:themeFill="background1"/>
              <w:rPr>
                <w:rStyle w:val="Hyperlink"/>
              </w:rPr>
            </w:pPr>
            <w:hyperlink r:id="rId30" w:history="1">
              <w:r w:rsidR="00402B8E" w:rsidRPr="004C541C">
                <w:rPr>
                  <w:rStyle w:val="Hyperlink"/>
                  <w:rFonts w:asciiTheme="majorHAnsi" w:hAnsiTheme="majorHAnsi" w:cstheme="majorHAnsi"/>
                  <w:sz w:val="20"/>
                  <w:szCs w:val="20"/>
                </w:rPr>
                <w:t>https://hdl.handle.net/20.500.11766/9408</w:t>
              </w:r>
            </w:hyperlink>
          </w:p>
          <w:p w14:paraId="41D5910B" w14:textId="77777777" w:rsidR="00402B8E" w:rsidRPr="001B57F5" w:rsidRDefault="00402B8E" w:rsidP="0039146C">
            <w:pPr>
              <w:shd w:val="clear" w:color="auto" w:fill="FFFFFF" w:themeFill="background1"/>
              <w:rPr>
                <w:rStyle w:val="Hyperlink"/>
              </w:rPr>
            </w:pPr>
          </w:p>
          <w:p w14:paraId="2B04758B" w14:textId="42ABD22F" w:rsidR="00402B8E" w:rsidRPr="001B57F5" w:rsidRDefault="005345C3" w:rsidP="00392CE1">
            <w:pPr>
              <w:shd w:val="clear" w:color="auto" w:fill="FFFFFF" w:themeFill="background1"/>
              <w:rPr>
                <w:rStyle w:val="Hyperlink"/>
              </w:rPr>
            </w:pPr>
            <w:hyperlink r:id="rId31" w:history="1">
              <w:r w:rsidR="00402B8E" w:rsidRPr="004C541C">
                <w:rPr>
                  <w:rStyle w:val="Hyperlink"/>
                  <w:rFonts w:asciiTheme="majorHAnsi" w:hAnsiTheme="majorHAnsi" w:cstheme="majorHAnsi"/>
                  <w:sz w:val="20"/>
                  <w:szCs w:val="20"/>
                </w:rPr>
                <w:t>https://hdl.handle.net/20.500.11766/9411</w:t>
              </w:r>
            </w:hyperlink>
          </w:p>
        </w:tc>
      </w:tr>
      <w:tr w:rsidR="00DC4B6D" w:rsidRPr="00BA16A8" w14:paraId="10E7C65D" w14:textId="77777777" w:rsidTr="00363BBC">
        <w:trPr>
          <w:trHeight w:val="1080"/>
        </w:trPr>
        <w:tc>
          <w:tcPr>
            <w:tcW w:w="349" w:type="pct"/>
            <w:shd w:val="clear" w:color="auto" w:fill="FFFFFF" w:themeFill="background1"/>
            <w:tcMar>
              <w:top w:w="100" w:type="dxa"/>
              <w:left w:w="100" w:type="dxa"/>
              <w:bottom w:w="100" w:type="dxa"/>
              <w:right w:w="100" w:type="dxa"/>
            </w:tcMar>
          </w:tcPr>
          <w:p w14:paraId="17CD609A" w14:textId="40320285" w:rsidR="00363BBC" w:rsidRPr="00BA16A8" w:rsidRDefault="00363BBC" w:rsidP="00ED07C1">
            <w:pPr>
              <w:shd w:val="clear" w:color="auto" w:fill="FFFFFF" w:themeFill="background1"/>
              <w:rPr>
                <w:rFonts w:asciiTheme="majorHAnsi" w:hAnsiTheme="majorHAnsi" w:cstheme="majorHAnsi"/>
                <w:sz w:val="20"/>
                <w:szCs w:val="20"/>
              </w:rPr>
            </w:pPr>
            <w:r w:rsidRPr="00BA16A8">
              <w:rPr>
                <w:rFonts w:asciiTheme="majorHAnsi" w:hAnsiTheme="majorHAnsi" w:cstheme="majorHAnsi"/>
                <w:sz w:val="20"/>
                <w:szCs w:val="20"/>
              </w:rPr>
              <w:t>1</w:t>
            </w:r>
          </w:p>
        </w:tc>
        <w:tc>
          <w:tcPr>
            <w:tcW w:w="960" w:type="pct"/>
            <w:shd w:val="clear" w:color="auto" w:fill="FFFFFF" w:themeFill="background1"/>
            <w:tcMar>
              <w:top w:w="100" w:type="dxa"/>
              <w:left w:w="100" w:type="dxa"/>
              <w:bottom w:w="100" w:type="dxa"/>
              <w:right w:w="100" w:type="dxa"/>
            </w:tcMar>
          </w:tcPr>
          <w:p w14:paraId="63E8DAC7" w14:textId="77777777" w:rsidR="00363BBC" w:rsidRPr="00BA16A8" w:rsidRDefault="00363BBC" w:rsidP="00ED07C1">
            <w:pPr>
              <w:shd w:val="clear" w:color="auto" w:fill="FFFFFF" w:themeFill="background1"/>
              <w:ind w:right="100"/>
              <w:rPr>
                <w:rFonts w:asciiTheme="majorHAnsi" w:hAnsiTheme="majorHAnsi" w:cstheme="majorHAnsi"/>
                <w:sz w:val="20"/>
                <w:szCs w:val="20"/>
              </w:rPr>
            </w:pPr>
            <w:r w:rsidRPr="00BA16A8">
              <w:rPr>
                <w:rFonts w:asciiTheme="majorHAnsi" w:hAnsiTheme="majorHAnsi" w:cstheme="majorHAnsi"/>
                <w:sz w:val="20"/>
                <w:szCs w:val="20"/>
              </w:rPr>
              <w:t xml:space="preserve">Outcome 3. Inclusive and equitable technologies and innovation systems established for accelerated and broadened impact across the </w:t>
            </w:r>
            <w:proofErr w:type="spellStart"/>
            <w:r w:rsidRPr="00BA16A8">
              <w:rPr>
                <w:rFonts w:asciiTheme="majorHAnsi" w:hAnsiTheme="majorHAnsi" w:cstheme="majorHAnsi"/>
                <w:sz w:val="20"/>
                <w:szCs w:val="20"/>
              </w:rPr>
              <w:t>agrifood</w:t>
            </w:r>
            <w:proofErr w:type="spellEnd"/>
            <w:r w:rsidRPr="00BA16A8">
              <w:rPr>
                <w:rFonts w:asciiTheme="majorHAnsi" w:hAnsiTheme="majorHAnsi" w:cstheme="majorHAnsi"/>
                <w:sz w:val="20"/>
                <w:szCs w:val="20"/>
              </w:rPr>
              <w:t xml:space="preserve"> system</w:t>
            </w:r>
          </w:p>
          <w:p w14:paraId="3CFFA0FA" w14:textId="77777777" w:rsidR="00363BBC" w:rsidRPr="00BA16A8" w:rsidRDefault="00363BBC" w:rsidP="00ED07C1">
            <w:pPr>
              <w:shd w:val="clear" w:color="auto" w:fill="FFFFFF" w:themeFill="background1"/>
              <w:ind w:right="100"/>
              <w:rPr>
                <w:rFonts w:asciiTheme="majorHAnsi" w:hAnsiTheme="majorHAnsi" w:cstheme="majorHAnsi"/>
                <w:sz w:val="20"/>
                <w:szCs w:val="20"/>
              </w:rPr>
            </w:pPr>
          </w:p>
        </w:tc>
        <w:tc>
          <w:tcPr>
            <w:tcW w:w="1037" w:type="pct"/>
            <w:shd w:val="clear" w:color="auto" w:fill="FFFFFF" w:themeFill="background1"/>
            <w:tcMar>
              <w:top w:w="100" w:type="dxa"/>
              <w:left w:w="100" w:type="dxa"/>
              <w:bottom w:w="100" w:type="dxa"/>
              <w:right w:w="100" w:type="dxa"/>
            </w:tcMar>
          </w:tcPr>
          <w:p w14:paraId="73162A12" w14:textId="0C57AEFF" w:rsidR="00363BBC" w:rsidRPr="00ED07C1" w:rsidRDefault="008C33AC" w:rsidP="00ED07C1">
            <w:pPr>
              <w:shd w:val="clear" w:color="auto" w:fill="FFFFFF" w:themeFill="background1"/>
              <w:ind w:right="100"/>
              <w:rPr>
                <w:rFonts w:asciiTheme="majorHAnsi" w:hAnsiTheme="majorHAnsi" w:cstheme="majorHAnsi"/>
                <w:color w:val="000000"/>
                <w:sz w:val="20"/>
                <w:szCs w:val="20"/>
              </w:rPr>
            </w:pPr>
            <w:r>
              <w:rPr>
                <w:rFonts w:asciiTheme="majorHAnsi" w:hAnsiTheme="majorHAnsi" w:cstheme="majorHAnsi"/>
                <w:color w:val="000000"/>
                <w:sz w:val="20"/>
                <w:szCs w:val="20"/>
              </w:rPr>
              <w:t>T</w:t>
            </w:r>
            <w:r w:rsidRPr="00ED07C1">
              <w:rPr>
                <w:rFonts w:asciiTheme="majorHAnsi" w:hAnsiTheme="majorHAnsi" w:cstheme="majorHAnsi"/>
                <w:color w:val="000000"/>
                <w:sz w:val="20"/>
                <w:szCs w:val="20"/>
              </w:rPr>
              <w:t>he ongoing strategic gender research is generating insights that lead to inclusive and equitable technologies and innovation systems</w:t>
            </w:r>
            <w:r>
              <w:rPr>
                <w:rFonts w:asciiTheme="majorHAnsi" w:hAnsiTheme="majorHAnsi" w:cstheme="majorHAnsi"/>
                <w:color w:val="000000"/>
                <w:sz w:val="20"/>
                <w:szCs w:val="20"/>
              </w:rPr>
              <w:t xml:space="preserve"> and e</w:t>
            </w:r>
            <w:r w:rsidR="00363BBC" w:rsidRPr="00ED07C1">
              <w:rPr>
                <w:rFonts w:asciiTheme="majorHAnsi" w:hAnsiTheme="majorHAnsi" w:cstheme="majorHAnsi"/>
                <w:color w:val="000000"/>
                <w:sz w:val="20"/>
                <w:szCs w:val="20"/>
              </w:rPr>
              <w:t>nhanc</w:t>
            </w:r>
            <w:r>
              <w:rPr>
                <w:rFonts w:asciiTheme="majorHAnsi" w:hAnsiTheme="majorHAnsi" w:cstheme="majorHAnsi"/>
                <w:color w:val="000000"/>
                <w:sz w:val="20"/>
                <w:szCs w:val="20"/>
              </w:rPr>
              <w:t>es</w:t>
            </w:r>
            <w:r w:rsidR="00363BBC" w:rsidRPr="00ED07C1">
              <w:rPr>
                <w:rFonts w:asciiTheme="majorHAnsi" w:hAnsiTheme="majorHAnsi" w:cstheme="majorHAnsi"/>
                <w:color w:val="000000"/>
                <w:sz w:val="20"/>
                <w:szCs w:val="20"/>
              </w:rPr>
              <w:t xml:space="preserve"> our understanding of the participation of women and youth in GLDC value chains as well as in technology and support service delivery</w:t>
            </w:r>
            <w:r>
              <w:rPr>
                <w:rFonts w:asciiTheme="majorHAnsi" w:hAnsiTheme="majorHAnsi" w:cstheme="majorHAnsi"/>
                <w:color w:val="000000"/>
                <w:sz w:val="20"/>
                <w:szCs w:val="20"/>
              </w:rPr>
              <w:t>.</w:t>
            </w:r>
            <w:r w:rsidR="00363BBC" w:rsidRPr="00ED07C1">
              <w:rPr>
                <w:rFonts w:asciiTheme="majorHAnsi" w:hAnsiTheme="majorHAnsi" w:cstheme="majorHAnsi"/>
                <w:color w:val="000000"/>
                <w:sz w:val="20"/>
                <w:szCs w:val="20"/>
              </w:rPr>
              <w:t xml:space="preserve"> </w:t>
            </w:r>
          </w:p>
        </w:tc>
        <w:tc>
          <w:tcPr>
            <w:tcW w:w="915" w:type="pct"/>
            <w:shd w:val="clear" w:color="auto" w:fill="FFFFFF" w:themeFill="background1"/>
            <w:tcMar>
              <w:top w:w="100" w:type="dxa"/>
              <w:left w:w="100" w:type="dxa"/>
              <w:bottom w:w="100" w:type="dxa"/>
              <w:right w:w="100" w:type="dxa"/>
            </w:tcMar>
          </w:tcPr>
          <w:p w14:paraId="3458EF46" w14:textId="705085DA" w:rsidR="00363BBC" w:rsidRPr="00BA16A8" w:rsidRDefault="00363BBC" w:rsidP="00ED07C1">
            <w:pPr>
              <w:shd w:val="clear" w:color="auto" w:fill="FFFFFF" w:themeFill="background1"/>
              <w:ind w:right="100"/>
              <w:rPr>
                <w:rFonts w:asciiTheme="majorHAnsi" w:hAnsiTheme="majorHAnsi" w:cstheme="majorHAnsi"/>
                <w:sz w:val="20"/>
                <w:szCs w:val="20"/>
              </w:rPr>
            </w:pPr>
            <w:r w:rsidRPr="00BA16A8">
              <w:rPr>
                <w:rFonts w:asciiTheme="majorHAnsi" w:hAnsiTheme="majorHAnsi" w:cstheme="majorHAnsi"/>
                <w:color w:val="000000"/>
                <w:sz w:val="20"/>
                <w:szCs w:val="20"/>
              </w:rPr>
              <w:t>Inclusive and equitable innovation system tested and adjusted to different biophysical and socioeconomic contexts including policy interactions</w:t>
            </w:r>
          </w:p>
        </w:tc>
        <w:tc>
          <w:tcPr>
            <w:tcW w:w="884" w:type="pct"/>
            <w:shd w:val="clear" w:color="auto" w:fill="FFFFFF" w:themeFill="background1"/>
            <w:tcMar>
              <w:top w:w="100" w:type="dxa"/>
              <w:left w:w="100" w:type="dxa"/>
              <w:bottom w:w="100" w:type="dxa"/>
              <w:right w:w="100" w:type="dxa"/>
            </w:tcMar>
          </w:tcPr>
          <w:p w14:paraId="52E01849" w14:textId="5D34557B" w:rsidR="00363BBC" w:rsidRPr="00BA16A8" w:rsidRDefault="00363BBC" w:rsidP="00ED07C1">
            <w:pPr>
              <w:shd w:val="clear" w:color="auto" w:fill="FFFFFF" w:themeFill="background1"/>
              <w:rPr>
                <w:rFonts w:asciiTheme="majorHAnsi" w:hAnsiTheme="majorHAnsi" w:cstheme="majorHAnsi"/>
                <w:sz w:val="20"/>
                <w:szCs w:val="20"/>
              </w:rPr>
            </w:pPr>
            <w:r>
              <w:rPr>
                <w:rFonts w:asciiTheme="majorHAnsi" w:hAnsiTheme="majorHAnsi" w:cstheme="majorHAnsi"/>
                <w:sz w:val="20"/>
                <w:szCs w:val="20"/>
              </w:rPr>
              <w:t>Extended</w:t>
            </w:r>
          </w:p>
        </w:tc>
        <w:tc>
          <w:tcPr>
            <w:tcW w:w="854" w:type="pct"/>
            <w:shd w:val="clear" w:color="auto" w:fill="FFFFFF" w:themeFill="background1"/>
            <w:tcMar>
              <w:top w:w="100" w:type="dxa"/>
              <w:left w:w="100" w:type="dxa"/>
              <w:bottom w:w="100" w:type="dxa"/>
              <w:right w:w="100" w:type="dxa"/>
            </w:tcMar>
          </w:tcPr>
          <w:p w14:paraId="7A1089C6" w14:textId="0D75D727" w:rsidR="00363BBC" w:rsidRPr="00BA16A8" w:rsidRDefault="00E07C87" w:rsidP="00ED07C1">
            <w:pPr>
              <w:shd w:val="clear" w:color="auto" w:fill="FFFFFF" w:themeFill="background1"/>
              <w:rPr>
                <w:rFonts w:asciiTheme="majorHAnsi" w:hAnsiTheme="majorHAnsi" w:cstheme="majorHAnsi"/>
                <w:sz w:val="20"/>
                <w:szCs w:val="20"/>
              </w:rPr>
            </w:pPr>
            <w:r>
              <w:rPr>
                <w:rFonts w:asciiTheme="majorHAnsi" w:hAnsiTheme="majorHAnsi" w:cstheme="majorHAnsi"/>
                <w:sz w:val="20"/>
                <w:szCs w:val="20"/>
              </w:rPr>
              <w:t>Ongoing work involving cross-country surveys in Tanzania, Ethiopia, and Uganda</w:t>
            </w:r>
          </w:p>
        </w:tc>
      </w:tr>
      <w:tr w:rsidR="00DC4B6D" w:rsidRPr="00BA16A8" w14:paraId="0665FE6C" w14:textId="77777777" w:rsidTr="00363BBC">
        <w:trPr>
          <w:trHeight w:val="1080"/>
        </w:trPr>
        <w:tc>
          <w:tcPr>
            <w:tcW w:w="349" w:type="pct"/>
            <w:shd w:val="clear" w:color="auto" w:fill="FFFFFF" w:themeFill="background1"/>
            <w:tcMar>
              <w:top w:w="100" w:type="dxa"/>
              <w:left w:w="100" w:type="dxa"/>
              <w:bottom w:w="100" w:type="dxa"/>
              <w:right w:w="100" w:type="dxa"/>
            </w:tcMar>
          </w:tcPr>
          <w:p w14:paraId="47E1725A" w14:textId="59978A06" w:rsidR="00363BBC" w:rsidRPr="00BA16A8" w:rsidRDefault="00363BBC" w:rsidP="00ED07C1">
            <w:pPr>
              <w:shd w:val="clear" w:color="auto" w:fill="FFFFFF" w:themeFill="background1"/>
              <w:rPr>
                <w:rFonts w:asciiTheme="majorHAnsi" w:hAnsiTheme="majorHAnsi" w:cstheme="majorHAnsi"/>
                <w:sz w:val="20"/>
                <w:szCs w:val="20"/>
              </w:rPr>
            </w:pPr>
            <w:r w:rsidRPr="00BA16A8">
              <w:rPr>
                <w:rFonts w:asciiTheme="majorHAnsi" w:hAnsiTheme="majorHAnsi" w:cstheme="majorHAnsi"/>
                <w:sz w:val="20"/>
                <w:szCs w:val="20"/>
              </w:rPr>
              <w:t>1</w:t>
            </w:r>
          </w:p>
        </w:tc>
        <w:tc>
          <w:tcPr>
            <w:tcW w:w="960" w:type="pct"/>
            <w:shd w:val="clear" w:color="auto" w:fill="FFFFFF" w:themeFill="background1"/>
            <w:tcMar>
              <w:top w:w="100" w:type="dxa"/>
              <w:left w:w="100" w:type="dxa"/>
              <w:bottom w:w="100" w:type="dxa"/>
              <w:right w:w="100" w:type="dxa"/>
            </w:tcMar>
          </w:tcPr>
          <w:p w14:paraId="195845F3" w14:textId="77777777" w:rsidR="00363BBC" w:rsidRPr="00BA16A8" w:rsidRDefault="00363BBC" w:rsidP="00ED07C1">
            <w:pPr>
              <w:shd w:val="clear" w:color="auto" w:fill="FFFFFF" w:themeFill="background1"/>
              <w:rPr>
                <w:rFonts w:asciiTheme="majorHAnsi" w:hAnsiTheme="majorHAnsi" w:cstheme="majorHAnsi"/>
                <w:sz w:val="20"/>
                <w:szCs w:val="20"/>
              </w:rPr>
            </w:pPr>
            <w:r w:rsidRPr="00BA16A8">
              <w:rPr>
                <w:rFonts w:asciiTheme="majorHAnsi" w:hAnsiTheme="majorHAnsi" w:cstheme="majorHAnsi"/>
                <w:sz w:val="20"/>
                <w:szCs w:val="20"/>
              </w:rPr>
              <w:t>Outcome 4. Strong project design, execution, monitoring and evaluation systems and tools consistently applied in GLDC scaling projects, with demonstrable progress on enhanced adoption and impact</w:t>
            </w:r>
          </w:p>
          <w:p w14:paraId="2EECCF5F" w14:textId="77777777" w:rsidR="00363BBC" w:rsidRPr="00BA16A8" w:rsidRDefault="00363BBC" w:rsidP="00ED07C1">
            <w:pPr>
              <w:shd w:val="clear" w:color="auto" w:fill="FFFFFF" w:themeFill="background1"/>
              <w:ind w:right="100"/>
              <w:rPr>
                <w:rFonts w:asciiTheme="majorHAnsi" w:hAnsiTheme="majorHAnsi" w:cstheme="majorHAnsi"/>
                <w:sz w:val="20"/>
                <w:szCs w:val="20"/>
              </w:rPr>
            </w:pPr>
          </w:p>
        </w:tc>
        <w:tc>
          <w:tcPr>
            <w:tcW w:w="1037" w:type="pct"/>
            <w:shd w:val="clear" w:color="auto" w:fill="FFFFFF" w:themeFill="background1"/>
            <w:tcMar>
              <w:top w:w="100" w:type="dxa"/>
              <w:left w:w="100" w:type="dxa"/>
              <w:bottom w:w="100" w:type="dxa"/>
              <w:right w:w="100" w:type="dxa"/>
            </w:tcMar>
          </w:tcPr>
          <w:p w14:paraId="1589C3CB" w14:textId="4DBA123B" w:rsidR="00363BBC" w:rsidRPr="00ED07C1" w:rsidRDefault="00126EBB" w:rsidP="00ED07C1">
            <w:pPr>
              <w:shd w:val="clear" w:color="auto" w:fill="FFFFFF" w:themeFill="background1"/>
              <w:ind w:right="100"/>
              <w:rPr>
                <w:rFonts w:asciiTheme="majorHAnsi" w:hAnsiTheme="majorHAnsi" w:cstheme="majorHAnsi"/>
                <w:color w:val="000000"/>
                <w:sz w:val="20"/>
                <w:szCs w:val="20"/>
              </w:rPr>
            </w:pPr>
            <w:r>
              <w:rPr>
                <w:rFonts w:asciiTheme="majorHAnsi" w:hAnsiTheme="majorHAnsi" w:cstheme="majorHAnsi"/>
                <w:color w:val="000000"/>
                <w:sz w:val="20"/>
                <w:szCs w:val="20"/>
              </w:rPr>
              <w:t>T</w:t>
            </w:r>
            <w:r w:rsidR="00363BBC" w:rsidRPr="00ED07C1">
              <w:rPr>
                <w:rFonts w:asciiTheme="majorHAnsi" w:hAnsiTheme="majorHAnsi" w:cstheme="majorHAnsi"/>
                <w:color w:val="000000"/>
                <w:sz w:val="20"/>
                <w:szCs w:val="20"/>
              </w:rPr>
              <w:t xml:space="preserve">he ongoing review of scaling approaches and impact evaluations is generating useful lessons for increased technology adoption and impact </w:t>
            </w:r>
            <w:r>
              <w:rPr>
                <w:rFonts w:asciiTheme="majorHAnsi" w:hAnsiTheme="majorHAnsi" w:cstheme="majorHAnsi"/>
                <w:color w:val="000000"/>
                <w:sz w:val="20"/>
                <w:szCs w:val="20"/>
              </w:rPr>
              <w:t>through</w:t>
            </w:r>
            <w:r w:rsidRPr="00ED07C1">
              <w:rPr>
                <w:rFonts w:asciiTheme="majorHAnsi" w:hAnsiTheme="majorHAnsi" w:cstheme="majorHAnsi"/>
                <w:color w:val="000000"/>
                <w:sz w:val="20"/>
                <w:szCs w:val="20"/>
              </w:rPr>
              <w:t xml:space="preserve"> identif</w:t>
            </w:r>
            <w:r>
              <w:rPr>
                <w:rFonts w:asciiTheme="majorHAnsi" w:hAnsiTheme="majorHAnsi" w:cstheme="majorHAnsi"/>
                <w:color w:val="000000"/>
                <w:sz w:val="20"/>
                <w:szCs w:val="20"/>
              </w:rPr>
              <w:t>ication of</w:t>
            </w:r>
            <w:r w:rsidRPr="00ED07C1">
              <w:rPr>
                <w:rFonts w:asciiTheme="majorHAnsi" w:hAnsiTheme="majorHAnsi" w:cstheme="majorHAnsi"/>
                <w:color w:val="000000"/>
                <w:sz w:val="20"/>
                <w:szCs w:val="20"/>
              </w:rPr>
              <w:t xml:space="preserve"> successful approaches to technology scaling and the underlying institutional and policy contexts</w:t>
            </w:r>
            <w:r>
              <w:rPr>
                <w:rFonts w:asciiTheme="majorHAnsi" w:hAnsiTheme="majorHAnsi" w:cstheme="majorHAnsi"/>
                <w:color w:val="000000"/>
                <w:sz w:val="20"/>
                <w:szCs w:val="20"/>
              </w:rPr>
              <w:t>.</w:t>
            </w:r>
          </w:p>
        </w:tc>
        <w:tc>
          <w:tcPr>
            <w:tcW w:w="915" w:type="pct"/>
            <w:shd w:val="clear" w:color="auto" w:fill="FFFFFF" w:themeFill="background1"/>
            <w:tcMar>
              <w:top w:w="100" w:type="dxa"/>
              <w:left w:w="100" w:type="dxa"/>
              <w:bottom w:w="100" w:type="dxa"/>
              <w:right w:w="100" w:type="dxa"/>
            </w:tcMar>
          </w:tcPr>
          <w:p w14:paraId="61290E6C" w14:textId="7B16C04B" w:rsidR="00363BBC" w:rsidRPr="00BA16A8" w:rsidRDefault="00363BBC" w:rsidP="00ED07C1">
            <w:pPr>
              <w:shd w:val="clear" w:color="auto" w:fill="FFFFFF" w:themeFill="background1"/>
              <w:ind w:right="100"/>
              <w:rPr>
                <w:rFonts w:asciiTheme="majorHAnsi" w:hAnsiTheme="majorHAnsi" w:cstheme="majorHAnsi"/>
                <w:sz w:val="20"/>
                <w:szCs w:val="20"/>
              </w:rPr>
            </w:pPr>
            <w:r w:rsidRPr="00BA16A8">
              <w:rPr>
                <w:rFonts w:asciiTheme="majorHAnsi" w:hAnsiTheme="majorHAnsi" w:cstheme="majorHAnsi"/>
                <w:color w:val="000000"/>
                <w:sz w:val="20"/>
                <w:szCs w:val="20"/>
              </w:rPr>
              <w:t>Evaluation documenting the strengths, shortcomings, and key lessons learn</w:t>
            </w:r>
            <w:r w:rsidR="00855E6F">
              <w:rPr>
                <w:rFonts w:asciiTheme="majorHAnsi" w:hAnsiTheme="majorHAnsi" w:cstheme="majorHAnsi"/>
                <w:color w:val="000000"/>
                <w:sz w:val="20"/>
                <w:szCs w:val="20"/>
              </w:rPr>
              <w:t>ed</w:t>
            </w:r>
            <w:r w:rsidRPr="00BA16A8">
              <w:rPr>
                <w:rFonts w:asciiTheme="majorHAnsi" w:hAnsiTheme="majorHAnsi" w:cstheme="majorHAnsi"/>
                <w:color w:val="000000"/>
                <w:sz w:val="20"/>
                <w:szCs w:val="20"/>
              </w:rPr>
              <w:t xml:space="preserve"> on GLDC scaling approaches and impacts</w:t>
            </w:r>
          </w:p>
        </w:tc>
        <w:tc>
          <w:tcPr>
            <w:tcW w:w="884" w:type="pct"/>
            <w:shd w:val="clear" w:color="auto" w:fill="FFFFFF" w:themeFill="background1"/>
            <w:tcMar>
              <w:top w:w="100" w:type="dxa"/>
              <w:left w:w="100" w:type="dxa"/>
              <w:bottom w:w="100" w:type="dxa"/>
              <w:right w:w="100" w:type="dxa"/>
            </w:tcMar>
          </w:tcPr>
          <w:p w14:paraId="7F1B309A" w14:textId="3337C2C9" w:rsidR="00363BBC" w:rsidRPr="00BA16A8" w:rsidRDefault="006B5D0F" w:rsidP="00ED07C1">
            <w:pPr>
              <w:shd w:val="clear" w:color="auto" w:fill="FFFFFF" w:themeFill="background1"/>
              <w:rPr>
                <w:rFonts w:asciiTheme="majorHAnsi" w:hAnsiTheme="majorHAnsi" w:cstheme="majorHAnsi"/>
                <w:sz w:val="20"/>
                <w:szCs w:val="20"/>
              </w:rPr>
            </w:pPr>
            <w:r>
              <w:rPr>
                <w:rFonts w:asciiTheme="majorHAnsi" w:hAnsiTheme="majorHAnsi" w:cstheme="majorHAnsi"/>
                <w:sz w:val="20"/>
                <w:szCs w:val="20"/>
              </w:rPr>
              <w:t>Extended</w:t>
            </w:r>
          </w:p>
        </w:tc>
        <w:tc>
          <w:tcPr>
            <w:tcW w:w="854" w:type="pct"/>
            <w:shd w:val="clear" w:color="auto" w:fill="FFFFFF" w:themeFill="background1"/>
            <w:tcMar>
              <w:top w:w="100" w:type="dxa"/>
              <w:left w:w="100" w:type="dxa"/>
              <w:bottom w:w="100" w:type="dxa"/>
              <w:right w:w="100" w:type="dxa"/>
            </w:tcMar>
          </w:tcPr>
          <w:p w14:paraId="51248F50" w14:textId="3FE1AD42" w:rsidR="007D1FDA" w:rsidRPr="00374689" w:rsidRDefault="007D1FDA" w:rsidP="00374689">
            <w:pPr>
              <w:shd w:val="clear" w:color="auto" w:fill="FFFFFF" w:themeFill="background1"/>
              <w:ind w:right="100"/>
              <w:rPr>
                <w:rFonts w:asciiTheme="majorHAnsi" w:hAnsiTheme="majorHAnsi" w:cstheme="majorHAnsi"/>
                <w:sz w:val="20"/>
                <w:szCs w:val="20"/>
              </w:rPr>
            </w:pPr>
            <w:r w:rsidRPr="00374689">
              <w:rPr>
                <w:rFonts w:asciiTheme="majorHAnsi" w:hAnsiTheme="majorHAnsi" w:cstheme="majorHAnsi"/>
                <w:color w:val="000000"/>
                <w:sz w:val="20"/>
                <w:szCs w:val="20"/>
              </w:rPr>
              <w:t>A scaling framework was developed that encapsulates key elements considered important in promoting the large-scale adoption and impacts of GLDC technologies. Following an internal review, it was decided to expand the framework to make it more comprehensive for supporting and enhancing GLDC’s scaling approaches and impact.</w:t>
            </w:r>
          </w:p>
        </w:tc>
      </w:tr>
      <w:tr w:rsidR="00DC4B6D" w:rsidRPr="00BA16A8" w14:paraId="4346F94E" w14:textId="77777777" w:rsidTr="00363BBC">
        <w:trPr>
          <w:trHeight w:val="1080"/>
        </w:trPr>
        <w:tc>
          <w:tcPr>
            <w:tcW w:w="349" w:type="pct"/>
            <w:shd w:val="clear" w:color="auto" w:fill="FFFFFF" w:themeFill="background1"/>
            <w:tcMar>
              <w:top w:w="100" w:type="dxa"/>
              <w:left w:w="100" w:type="dxa"/>
              <w:bottom w:w="100" w:type="dxa"/>
              <w:right w:w="100" w:type="dxa"/>
            </w:tcMar>
          </w:tcPr>
          <w:p w14:paraId="24911669" w14:textId="2596DCA0" w:rsidR="00363BBC" w:rsidRPr="00BA16A8" w:rsidRDefault="00363BBC" w:rsidP="00ED07C1">
            <w:pPr>
              <w:shd w:val="clear" w:color="auto" w:fill="FFFFFF" w:themeFill="background1"/>
              <w:rPr>
                <w:rFonts w:asciiTheme="majorHAnsi" w:hAnsiTheme="majorHAnsi" w:cstheme="majorHAnsi"/>
                <w:sz w:val="20"/>
                <w:szCs w:val="20"/>
              </w:rPr>
            </w:pPr>
            <w:r w:rsidRPr="00BA16A8">
              <w:rPr>
                <w:rFonts w:asciiTheme="majorHAnsi" w:hAnsiTheme="majorHAnsi" w:cstheme="majorHAnsi"/>
                <w:sz w:val="20"/>
                <w:szCs w:val="20"/>
              </w:rPr>
              <w:t>1</w:t>
            </w:r>
          </w:p>
        </w:tc>
        <w:tc>
          <w:tcPr>
            <w:tcW w:w="960" w:type="pct"/>
            <w:shd w:val="clear" w:color="auto" w:fill="FFFFFF" w:themeFill="background1"/>
            <w:tcMar>
              <w:top w:w="100" w:type="dxa"/>
              <w:left w:w="100" w:type="dxa"/>
              <w:bottom w:w="100" w:type="dxa"/>
              <w:right w:w="100" w:type="dxa"/>
            </w:tcMar>
          </w:tcPr>
          <w:p w14:paraId="4636ED64" w14:textId="77777777" w:rsidR="00363BBC" w:rsidRPr="00BA16A8" w:rsidRDefault="00363BBC" w:rsidP="00ED07C1">
            <w:pPr>
              <w:shd w:val="clear" w:color="auto" w:fill="FFFFFF" w:themeFill="background1"/>
              <w:rPr>
                <w:rFonts w:asciiTheme="majorHAnsi" w:hAnsiTheme="majorHAnsi" w:cstheme="majorHAnsi"/>
                <w:sz w:val="20"/>
                <w:szCs w:val="20"/>
              </w:rPr>
            </w:pPr>
            <w:r w:rsidRPr="00BA16A8">
              <w:rPr>
                <w:rFonts w:asciiTheme="majorHAnsi" w:hAnsiTheme="majorHAnsi" w:cstheme="majorHAnsi"/>
                <w:sz w:val="20"/>
                <w:szCs w:val="20"/>
              </w:rPr>
              <w:t>Outcome 4. Strong project design, execution, monitoring and evaluation systems and tools consistently applied in GLDC scaling projects, with demonstrable progress on enhanced adoption and impact</w:t>
            </w:r>
          </w:p>
          <w:p w14:paraId="6D157436" w14:textId="77777777" w:rsidR="00363BBC" w:rsidRPr="00BA16A8" w:rsidRDefault="00363BBC" w:rsidP="00ED07C1">
            <w:pPr>
              <w:shd w:val="clear" w:color="auto" w:fill="FFFFFF" w:themeFill="background1"/>
              <w:rPr>
                <w:rFonts w:asciiTheme="majorHAnsi" w:hAnsiTheme="majorHAnsi" w:cstheme="majorHAnsi"/>
                <w:sz w:val="20"/>
                <w:szCs w:val="20"/>
              </w:rPr>
            </w:pPr>
          </w:p>
        </w:tc>
        <w:tc>
          <w:tcPr>
            <w:tcW w:w="1037" w:type="pct"/>
            <w:shd w:val="clear" w:color="auto" w:fill="FFFFFF" w:themeFill="background1"/>
            <w:tcMar>
              <w:top w:w="100" w:type="dxa"/>
              <w:left w:w="100" w:type="dxa"/>
              <w:bottom w:w="100" w:type="dxa"/>
              <w:right w:w="100" w:type="dxa"/>
            </w:tcMar>
          </w:tcPr>
          <w:p w14:paraId="6B18330D" w14:textId="26CEA425" w:rsidR="00363BBC" w:rsidRPr="00ED07C1" w:rsidRDefault="00B47B18" w:rsidP="00ED07C1">
            <w:pPr>
              <w:shd w:val="clear" w:color="auto" w:fill="FFFFFF" w:themeFill="background1"/>
              <w:ind w:right="100"/>
              <w:rPr>
                <w:rFonts w:asciiTheme="majorHAnsi" w:hAnsiTheme="majorHAnsi" w:cstheme="majorHAnsi"/>
                <w:color w:val="000000"/>
                <w:sz w:val="20"/>
                <w:szCs w:val="20"/>
              </w:rPr>
            </w:pPr>
            <w:r>
              <w:rPr>
                <w:rFonts w:asciiTheme="majorHAnsi" w:hAnsiTheme="majorHAnsi" w:cstheme="majorHAnsi"/>
                <w:color w:val="000000"/>
                <w:sz w:val="20"/>
                <w:szCs w:val="20"/>
              </w:rPr>
              <w:t>The</w:t>
            </w:r>
            <w:r w:rsidRPr="00B47B18">
              <w:rPr>
                <w:rFonts w:asciiTheme="majorHAnsi" w:hAnsiTheme="majorHAnsi" w:cstheme="majorHAnsi"/>
                <w:color w:val="000000"/>
                <w:sz w:val="20"/>
                <w:szCs w:val="20"/>
              </w:rPr>
              <w:t xml:space="preserve"> impact evidencing strategy</w:t>
            </w:r>
            <w:r>
              <w:rPr>
                <w:rFonts w:asciiTheme="majorHAnsi" w:hAnsiTheme="majorHAnsi" w:cstheme="majorHAnsi"/>
                <w:color w:val="000000"/>
                <w:sz w:val="20"/>
                <w:szCs w:val="20"/>
              </w:rPr>
              <w:t xml:space="preserve"> that has been developed is expected to facilitate monitoring and evaluation and impact assessment systems for greater accountability and enhanced adoption and impacts of GLDC innovations. </w:t>
            </w:r>
          </w:p>
        </w:tc>
        <w:tc>
          <w:tcPr>
            <w:tcW w:w="915" w:type="pct"/>
            <w:shd w:val="clear" w:color="auto" w:fill="FFFFFF" w:themeFill="background1"/>
            <w:tcMar>
              <w:top w:w="100" w:type="dxa"/>
              <w:left w:w="100" w:type="dxa"/>
              <w:bottom w:w="100" w:type="dxa"/>
              <w:right w:w="100" w:type="dxa"/>
            </w:tcMar>
          </w:tcPr>
          <w:p w14:paraId="1A6B683F" w14:textId="1ACCF16D" w:rsidR="00363BBC" w:rsidRPr="00BA16A8" w:rsidRDefault="00363BBC" w:rsidP="00ED07C1">
            <w:pPr>
              <w:shd w:val="clear" w:color="auto" w:fill="FFFFFF" w:themeFill="background1"/>
              <w:ind w:right="100"/>
              <w:rPr>
                <w:rFonts w:asciiTheme="majorHAnsi" w:hAnsiTheme="majorHAnsi" w:cstheme="majorHAnsi"/>
                <w:sz w:val="20"/>
                <w:szCs w:val="20"/>
              </w:rPr>
            </w:pPr>
            <w:r w:rsidRPr="00BA16A8">
              <w:rPr>
                <w:rFonts w:asciiTheme="majorHAnsi" w:hAnsiTheme="majorHAnsi" w:cstheme="majorHAnsi"/>
                <w:color w:val="000000"/>
                <w:sz w:val="20"/>
                <w:szCs w:val="20"/>
              </w:rPr>
              <w:t>Working strategy for evidencing the outcomes and impacts of GLDC</w:t>
            </w:r>
          </w:p>
        </w:tc>
        <w:tc>
          <w:tcPr>
            <w:tcW w:w="884" w:type="pct"/>
            <w:shd w:val="clear" w:color="auto" w:fill="FFFFFF" w:themeFill="background1"/>
            <w:tcMar>
              <w:top w:w="100" w:type="dxa"/>
              <w:left w:w="100" w:type="dxa"/>
              <w:bottom w:w="100" w:type="dxa"/>
              <w:right w:w="100" w:type="dxa"/>
            </w:tcMar>
          </w:tcPr>
          <w:p w14:paraId="258AE95E" w14:textId="434A4BA8" w:rsidR="00363BBC" w:rsidRPr="00BA16A8" w:rsidRDefault="00855E6F" w:rsidP="00ED07C1">
            <w:pPr>
              <w:shd w:val="clear" w:color="auto" w:fill="FFFFFF" w:themeFill="background1"/>
              <w:rPr>
                <w:rFonts w:asciiTheme="majorHAnsi" w:hAnsiTheme="majorHAnsi" w:cstheme="majorHAnsi"/>
                <w:sz w:val="20"/>
                <w:szCs w:val="20"/>
              </w:rPr>
            </w:pPr>
            <w:r>
              <w:rPr>
                <w:rFonts w:asciiTheme="majorHAnsi" w:hAnsiTheme="majorHAnsi" w:cstheme="majorHAnsi"/>
                <w:sz w:val="20"/>
                <w:szCs w:val="20"/>
              </w:rPr>
              <w:t>Complete</w:t>
            </w:r>
          </w:p>
        </w:tc>
        <w:tc>
          <w:tcPr>
            <w:tcW w:w="854" w:type="pct"/>
            <w:shd w:val="clear" w:color="auto" w:fill="FFFFFF" w:themeFill="background1"/>
            <w:tcMar>
              <w:top w:w="100" w:type="dxa"/>
              <w:left w:w="100" w:type="dxa"/>
              <w:bottom w:w="100" w:type="dxa"/>
              <w:right w:w="100" w:type="dxa"/>
            </w:tcMar>
          </w:tcPr>
          <w:p w14:paraId="1385B5F4" w14:textId="2AA5CC65" w:rsidR="00DC4B6D" w:rsidRPr="00DC4B6D" w:rsidRDefault="005345C3" w:rsidP="00DC4B6D">
            <w:pPr>
              <w:rPr>
                <w:rFonts w:asciiTheme="majorHAnsi" w:hAnsiTheme="majorHAnsi" w:cstheme="majorHAnsi"/>
                <w:sz w:val="20"/>
                <w:szCs w:val="20"/>
              </w:rPr>
            </w:pPr>
            <w:hyperlink r:id="rId32" w:history="1">
              <w:r w:rsidR="00DC4B6D" w:rsidRPr="00DC4B6D">
                <w:rPr>
                  <w:rStyle w:val="Hyperlink"/>
                  <w:rFonts w:asciiTheme="majorHAnsi" w:eastAsiaTheme="majorEastAsia" w:hAnsiTheme="majorHAnsi" w:cstheme="majorHAnsi"/>
                  <w:sz w:val="20"/>
                  <w:szCs w:val="20"/>
                </w:rPr>
                <w:t>https://hdl.handle.net/20.500.11766/10867</w:t>
              </w:r>
            </w:hyperlink>
          </w:p>
          <w:p w14:paraId="5D2782A1" w14:textId="77777777" w:rsidR="00363BBC" w:rsidRPr="00DC4B6D" w:rsidRDefault="00363BBC" w:rsidP="00ED07C1">
            <w:pPr>
              <w:shd w:val="clear" w:color="auto" w:fill="FFFFFF" w:themeFill="background1"/>
              <w:rPr>
                <w:rFonts w:asciiTheme="majorHAnsi" w:hAnsiTheme="majorHAnsi" w:cstheme="majorHAnsi"/>
                <w:sz w:val="20"/>
                <w:szCs w:val="20"/>
              </w:rPr>
            </w:pPr>
          </w:p>
        </w:tc>
      </w:tr>
    </w:tbl>
    <w:p w14:paraId="7F0DB861" w14:textId="77777777" w:rsidR="006E40C8" w:rsidRDefault="006E40C8" w:rsidP="00DC6810">
      <w:pPr>
        <w:shd w:val="clear" w:color="auto" w:fill="FFFFFF" w:themeFill="background1"/>
      </w:pPr>
    </w:p>
    <w:p w14:paraId="171BE65D" w14:textId="574604CD" w:rsidR="006E40C8" w:rsidRPr="00413F1B" w:rsidRDefault="006E40C8" w:rsidP="006E40C8">
      <w:pPr>
        <w:pStyle w:val="Heading1"/>
        <w:rPr>
          <w:color w:val="BFBFBF" w:themeColor="background1" w:themeShade="BF"/>
          <w:sz w:val="24"/>
        </w:rPr>
      </w:pPr>
      <w:bookmarkStart w:id="9" w:name="_Toc531191907"/>
      <w:bookmarkStart w:id="10" w:name="_Ref531211898"/>
      <w:bookmarkStart w:id="11" w:name="_Ref531214738"/>
      <w:bookmarkStart w:id="12" w:name="_Toc531264773"/>
      <w:bookmarkStart w:id="13" w:name="_Hlk531117223"/>
      <w:r w:rsidRPr="00413F1B">
        <w:rPr>
          <w:color w:val="BFBFBF" w:themeColor="background1" w:themeShade="BF"/>
          <w:sz w:val="24"/>
        </w:rPr>
        <w:lastRenderedPageBreak/>
        <w:t xml:space="preserve">Table </w:t>
      </w:r>
      <w:r>
        <w:rPr>
          <w:color w:val="BFBFBF" w:themeColor="background1" w:themeShade="BF"/>
          <w:sz w:val="24"/>
        </w:rPr>
        <w:t>2</w:t>
      </w:r>
      <w:r w:rsidRPr="00413F1B">
        <w:rPr>
          <w:color w:val="BFBFBF" w:themeColor="background1" w:themeShade="BF"/>
          <w:sz w:val="24"/>
        </w:rPr>
        <w:t>: Evidence on Progress towards SRF targets (Sphere of interest)</w:t>
      </w:r>
      <w:bookmarkEnd w:id="9"/>
      <w:bookmarkEnd w:id="10"/>
      <w:bookmarkEnd w:id="11"/>
      <w:bookmarkEnd w:id="12"/>
      <w:r w:rsidRPr="00413F1B">
        <w:rPr>
          <w:color w:val="BFBFBF" w:themeColor="background1" w:themeShade="BF"/>
          <w:sz w:val="24"/>
        </w:rPr>
        <w:t xml:space="preserve"> </w:t>
      </w:r>
    </w:p>
    <w:p w14:paraId="246143B2" w14:textId="77777777" w:rsidR="006E40C8" w:rsidRDefault="006E40C8" w:rsidP="006E40C8">
      <w:pPr>
        <w:widowControl w:val="0"/>
        <w:pBdr>
          <w:top w:val="nil"/>
          <w:left w:val="nil"/>
          <w:bottom w:val="nil"/>
          <w:right w:val="nil"/>
          <w:between w:val="nil"/>
        </w:pBdr>
        <w:rPr>
          <w:color w:val="000000"/>
        </w:rPr>
      </w:pPr>
    </w:p>
    <w:p w14:paraId="1DBDEB2C" w14:textId="77777777" w:rsidR="00E72DEF" w:rsidRDefault="00E72DEF" w:rsidP="006E40C8">
      <w:pPr>
        <w:widowControl w:val="0"/>
        <w:pBdr>
          <w:top w:val="nil"/>
          <w:left w:val="nil"/>
          <w:bottom w:val="nil"/>
          <w:right w:val="nil"/>
          <w:between w:val="nil"/>
        </w:pBdr>
        <w:rPr>
          <w:color w:val="000000"/>
        </w:rPr>
      </w:pPr>
    </w:p>
    <w:p w14:paraId="426EC933" w14:textId="4B4E8129" w:rsidR="006E40C8" w:rsidRDefault="006E40C8" w:rsidP="006E40C8">
      <w:pPr>
        <w:widowControl w:val="0"/>
        <w:pBdr>
          <w:top w:val="nil"/>
          <w:left w:val="nil"/>
          <w:bottom w:val="nil"/>
          <w:right w:val="nil"/>
          <w:between w:val="nil"/>
        </w:pBdr>
        <w:rPr>
          <w:color w:val="000000"/>
        </w:rPr>
      </w:pPr>
      <w:r>
        <w:rPr>
          <w:color w:val="000000"/>
        </w:rPr>
        <w:t xml:space="preserve">Instructions:  </w:t>
      </w:r>
    </w:p>
    <w:p w14:paraId="2F297295" w14:textId="77777777" w:rsidR="006E40C8" w:rsidRDefault="006E40C8" w:rsidP="006E40C8">
      <w:pPr>
        <w:widowControl w:val="0"/>
        <w:pBdr>
          <w:top w:val="nil"/>
          <w:left w:val="nil"/>
          <w:bottom w:val="nil"/>
          <w:right w:val="nil"/>
          <w:between w:val="nil"/>
        </w:pBdr>
        <w:rPr>
          <w:color w:val="000000"/>
        </w:rPr>
      </w:pPr>
    </w:p>
    <w:p w14:paraId="641D9BCA" w14:textId="11AC041D" w:rsidR="006E40C8" w:rsidRDefault="006E40C8" w:rsidP="006E40C8">
      <w:pPr>
        <w:widowControl w:val="0"/>
        <w:pBdr>
          <w:top w:val="nil"/>
          <w:left w:val="nil"/>
          <w:bottom w:val="nil"/>
          <w:right w:val="nil"/>
          <w:between w:val="nil"/>
        </w:pBdr>
        <w:rPr>
          <w:color w:val="000000"/>
        </w:rPr>
      </w:pPr>
      <w:r>
        <w:rPr>
          <w:color w:val="000000"/>
        </w:rPr>
        <w:t>Please complete this table with any available high-quality evidence on progress that was published or made available in 201</w:t>
      </w:r>
      <w:r w:rsidR="00B92662">
        <w:rPr>
          <w:color w:val="000000"/>
        </w:rPr>
        <w:t>9</w:t>
      </w:r>
      <w:r>
        <w:rPr>
          <w:color w:val="000000"/>
        </w:rPr>
        <w:t xml:space="preserve">.   Do not hesitate to state, “no new evidence available this year”, in column 2 if necessary, since we are trying to demonstrate evidence gaps and the need for additional funding for this area.   </w:t>
      </w:r>
    </w:p>
    <w:p w14:paraId="5EEE702B" w14:textId="77777777" w:rsidR="006E40C8" w:rsidRDefault="006E40C8" w:rsidP="006E40C8">
      <w:pPr>
        <w:widowControl w:val="0"/>
        <w:pBdr>
          <w:top w:val="nil"/>
          <w:left w:val="nil"/>
          <w:bottom w:val="nil"/>
          <w:right w:val="nil"/>
          <w:between w:val="nil"/>
        </w:pBdr>
        <w:rPr>
          <w:color w:val="9900CC"/>
        </w:rPr>
      </w:pPr>
    </w:p>
    <w:p w14:paraId="7C520F03" w14:textId="77777777" w:rsidR="006E40C8" w:rsidRPr="00C33273" w:rsidRDefault="006E40C8" w:rsidP="006E40C8">
      <w:pPr>
        <w:widowControl w:val="0"/>
        <w:pBdr>
          <w:top w:val="nil"/>
          <w:left w:val="nil"/>
          <w:bottom w:val="nil"/>
          <w:right w:val="nil"/>
          <w:between w:val="nil"/>
        </w:pBdr>
      </w:pPr>
      <w:r w:rsidRPr="00C33273">
        <w:t xml:space="preserve">For examples of how this information can be phrased and referenced, please see Annex Table A </w:t>
      </w:r>
      <w:hyperlink r:id="rId33">
        <w:r w:rsidRPr="00C33273">
          <w:rPr>
            <w:u w:val="single"/>
          </w:rPr>
          <w:t>here</w:t>
        </w:r>
      </w:hyperlink>
      <w:r w:rsidRPr="00C33273">
        <w:t xml:space="preserve"> in the previous CGIAR Annual Performance Report.  Please provide information on all relevant SRF targets for a single study or innovation, to the extent possible.  Example:  please see in the 2017 report Annex Table A how findings from a single rice review have been allocated between targets for adoption, poverty and yield increases.   Insofar as possible, please also disaggregate the effect of different innovations (e.g. in the above example NERICA rice could potentially be separated from another group of CGIAR rice varieties).    </w:t>
      </w:r>
    </w:p>
    <w:p w14:paraId="7316EDC8" w14:textId="77777777" w:rsidR="006E40C8" w:rsidRPr="00C33273" w:rsidRDefault="006E40C8" w:rsidP="006E40C8">
      <w:pPr>
        <w:widowControl w:val="0"/>
        <w:pBdr>
          <w:top w:val="nil"/>
          <w:left w:val="nil"/>
          <w:bottom w:val="nil"/>
          <w:right w:val="nil"/>
          <w:between w:val="nil"/>
        </w:pBdr>
      </w:pPr>
    </w:p>
    <w:p w14:paraId="51AD100F" w14:textId="09CD6246" w:rsidR="006E40C8" w:rsidRPr="00B15D1B" w:rsidRDefault="006E40C8" w:rsidP="006E40C8">
      <w:pPr>
        <w:widowControl w:val="0"/>
        <w:rPr>
          <w:color w:val="FF0000"/>
        </w:rPr>
      </w:pPr>
      <w:r w:rsidRPr="00C33273">
        <w:t xml:space="preserve">If the adoption or impact data comes from a relevant innovation or contribution of the CGIAR prior to the CRP start-up (e.g. varieties released before the CRP start-up, which for most CRPs would be approximately 2012), then please support statements with published references, as shown in the 2017 Annual Report Annex Table A above. </w:t>
      </w:r>
      <w:r w:rsidRPr="00C33273">
        <w:rPr>
          <w:u w:val="single"/>
        </w:rPr>
        <w:t>Nearly all adoption or impact studies fall into the above category.</w:t>
      </w:r>
      <w:r w:rsidRPr="00B15D1B">
        <w:rPr>
          <w:color w:val="7030A0"/>
          <w:u w:val="single"/>
        </w:rPr>
        <w:t xml:space="preserve">  </w:t>
      </w:r>
      <w:r w:rsidRPr="00A418A6">
        <w:rPr>
          <w:color w:val="7B7B7B" w:themeColor="accent3" w:themeShade="BF"/>
        </w:rPr>
        <w:t>There are (</w:t>
      </w:r>
      <w:proofErr w:type="gramStart"/>
      <w:r w:rsidRPr="00A418A6">
        <w:rPr>
          <w:color w:val="7B7B7B" w:themeColor="accent3" w:themeShade="BF"/>
        </w:rPr>
        <w:t>as yet</w:t>
      </w:r>
      <w:proofErr w:type="gramEnd"/>
      <w:r w:rsidRPr="00A418A6">
        <w:rPr>
          <w:color w:val="7B7B7B" w:themeColor="accent3" w:themeShade="BF"/>
        </w:rPr>
        <w:t xml:space="preserve">) a </w:t>
      </w:r>
      <w:r w:rsidRPr="00A418A6">
        <w:rPr>
          <w:color w:val="7B7B7B" w:themeColor="accent3" w:themeShade="BF"/>
          <w:u w:val="single"/>
        </w:rPr>
        <w:t>few</w:t>
      </w:r>
      <w:r w:rsidRPr="00A418A6">
        <w:rPr>
          <w:color w:val="7B7B7B" w:themeColor="accent3" w:themeShade="BF"/>
        </w:rPr>
        <w:t xml:space="preserve"> cases (two in 2017) in which the estimated figures for at-scale adoption or impact result from an innovation released within the CRP period, for example some biofortification numbers in 2017.  If this is the case, then the statement </w:t>
      </w:r>
      <w:r w:rsidRPr="00A418A6">
        <w:rPr>
          <w:color w:val="7B7B7B" w:themeColor="accent3" w:themeShade="BF"/>
          <w:u w:val="single"/>
        </w:rPr>
        <w:t>must</w:t>
      </w:r>
      <w:r w:rsidRPr="00A418A6">
        <w:rPr>
          <w:color w:val="7B7B7B" w:themeColor="accent3" w:themeShade="BF"/>
        </w:rPr>
        <w:t xml:space="preserve"> be supported by a link to an Outcome/ Impact Case Report </w:t>
      </w:r>
      <w:r w:rsidRPr="00A418A6">
        <w:rPr>
          <w:b/>
          <w:color w:val="7B7B7B" w:themeColor="accent3" w:themeShade="BF"/>
        </w:rPr>
        <w:t>Maturity Level 3</w:t>
      </w:r>
      <w:r w:rsidRPr="00A418A6">
        <w:rPr>
          <w:color w:val="7B7B7B" w:themeColor="accent3" w:themeShade="BF"/>
        </w:rPr>
        <w:t xml:space="preserve"> (or if not, with unique identifier from any appropriate repository</w:t>
      </w:r>
      <w:r>
        <w:rPr>
          <w:color w:val="7B7B7B" w:themeColor="accent3" w:themeShade="BF"/>
        </w:rPr>
        <w:t xml:space="preserve"> or publisher website</w:t>
      </w:r>
      <w:r w:rsidRPr="00A418A6">
        <w:rPr>
          <w:color w:val="7B7B7B" w:themeColor="accent3" w:themeShade="BF"/>
        </w:rPr>
        <w:t>).</w:t>
      </w:r>
      <w:r w:rsidRPr="00B15D1B">
        <w:rPr>
          <w:color w:val="FF0000"/>
        </w:rPr>
        <w:t xml:space="preserve"> </w:t>
      </w:r>
    </w:p>
    <w:p w14:paraId="774DF9C5" w14:textId="26D9FD4F" w:rsidR="006E40C8" w:rsidRDefault="006E40C8" w:rsidP="006E40C8">
      <w:pPr>
        <w:widowControl w:val="0"/>
        <w:rPr>
          <w:color w:val="FF0000"/>
          <w:sz w:val="20"/>
          <w:szCs w:val="20"/>
        </w:rPr>
      </w:pPr>
    </w:p>
    <w:p w14:paraId="13D7762D" w14:textId="19612B98" w:rsidR="00E72DEF" w:rsidRDefault="00E72DEF" w:rsidP="006E40C8">
      <w:pPr>
        <w:widowControl w:val="0"/>
        <w:rPr>
          <w:color w:val="FF0000"/>
          <w:sz w:val="20"/>
          <w:szCs w:val="20"/>
        </w:rPr>
      </w:pPr>
    </w:p>
    <w:p w14:paraId="3FD21832" w14:textId="7D1A8818" w:rsidR="00E72DEF" w:rsidRDefault="00E72DEF" w:rsidP="006E40C8">
      <w:pPr>
        <w:widowControl w:val="0"/>
        <w:rPr>
          <w:color w:val="FF0000"/>
          <w:sz w:val="20"/>
          <w:szCs w:val="20"/>
        </w:rPr>
      </w:pPr>
    </w:p>
    <w:p w14:paraId="7DE3F381" w14:textId="70846BC8" w:rsidR="00E72DEF" w:rsidRDefault="00E72DEF" w:rsidP="006E40C8">
      <w:pPr>
        <w:widowControl w:val="0"/>
        <w:rPr>
          <w:color w:val="FF0000"/>
          <w:sz w:val="20"/>
          <w:szCs w:val="20"/>
        </w:rPr>
      </w:pPr>
    </w:p>
    <w:p w14:paraId="2327D636" w14:textId="06A3D855" w:rsidR="00E72DEF" w:rsidRDefault="00E72DEF" w:rsidP="006E40C8">
      <w:pPr>
        <w:widowControl w:val="0"/>
        <w:rPr>
          <w:color w:val="FF0000"/>
          <w:sz w:val="20"/>
          <w:szCs w:val="20"/>
        </w:rPr>
      </w:pPr>
    </w:p>
    <w:p w14:paraId="56AEDB64" w14:textId="398DAA4D" w:rsidR="00E72DEF" w:rsidRDefault="00E72DEF" w:rsidP="006E40C8">
      <w:pPr>
        <w:widowControl w:val="0"/>
        <w:rPr>
          <w:color w:val="FF0000"/>
          <w:sz w:val="20"/>
          <w:szCs w:val="20"/>
        </w:rPr>
      </w:pPr>
    </w:p>
    <w:p w14:paraId="0ACB1328" w14:textId="76E5762C" w:rsidR="00E72DEF" w:rsidRDefault="00E72DEF" w:rsidP="006E40C8">
      <w:pPr>
        <w:widowControl w:val="0"/>
        <w:rPr>
          <w:color w:val="FF0000"/>
          <w:sz w:val="20"/>
          <w:szCs w:val="20"/>
        </w:rPr>
      </w:pPr>
    </w:p>
    <w:p w14:paraId="5BF362A1" w14:textId="7F931965" w:rsidR="00E72DEF" w:rsidRDefault="00E72DEF" w:rsidP="006E40C8">
      <w:pPr>
        <w:widowControl w:val="0"/>
        <w:rPr>
          <w:color w:val="FF0000"/>
          <w:sz w:val="20"/>
          <w:szCs w:val="20"/>
        </w:rPr>
      </w:pPr>
    </w:p>
    <w:p w14:paraId="4942290F" w14:textId="2F229CD1" w:rsidR="00E72DEF" w:rsidRDefault="00E72DEF" w:rsidP="006E40C8">
      <w:pPr>
        <w:widowControl w:val="0"/>
        <w:rPr>
          <w:color w:val="FF0000"/>
          <w:sz w:val="20"/>
          <w:szCs w:val="20"/>
        </w:rPr>
      </w:pPr>
    </w:p>
    <w:p w14:paraId="5DE6D0CC" w14:textId="58136F92" w:rsidR="00E72DEF" w:rsidRDefault="00E72DEF" w:rsidP="006E40C8">
      <w:pPr>
        <w:widowControl w:val="0"/>
        <w:rPr>
          <w:color w:val="FF0000"/>
          <w:sz w:val="20"/>
          <w:szCs w:val="20"/>
        </w:rPr>
      </w:pPr>
    </w:p>
    <w:p w14:paraId="7CAC1465" w14:textId="4BC66A95" w:rsidR="00E72DEF" w:rsidRDefault="00E72DEF" w:rsidP="006E40C8">
      <w:pPr>
        <w:widowControl w:val="0"/>
        <w:rPr>
          <w:color w:val="FF0000"/>
          <w:sz w:val="20"/>
          <w:szCs w:val="20"/>
        </w:rPr>
      </w:pPr>
    </w:p>
    <w:p w14:paraId="15F3A555" w14:textId="7A7CEEA6" w:rsidR="00E72DEF" w:rsidRDefault="00E72DEF" w:rsidP="006E40C8">
      <w:pPr>
        <w:widowControl w:val="0"/>
        <w:rPr>
          <w:color w:val="FF0000"/>
          <w:sz w:val="20"/>
          <w:szCs w:val="20"/>
        </w:rPr>
      </w:pPr>
    </w:p>
    <w:p w14:paraId="25DC49EC" w14:textId="606843F7" w:rsidR="00E72DEF" w:rsidRDefault="00E72DEF" w:rsidP="006E40C8">
      <w:pPr>
        <w:widowControl w:val="0"/>
        <w:rPr>
          <w:color w:val="FF0000"/>
          <w:sz w:val="20"/>
          <w:szCs w:val="20"/>
        </w:rPr>
      </w:pPr>
    </w:p>
    <w:tbl>
      <w:tblPr>
        <w:tblW w:w="144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85"/>
        <w:gridCol w:w="6105"/>
        <w:gridCol w:w="2800"/>
      </w:tblGrid>
      <w:tr w:rsidR="006E40C8" w14:paraId="7CA50811" w14:textId="77777777" w:rsidTr="00E72DEF">
        <w:trPr>
          <w:cantSplit/>
          <w:trHeight w:val="1582"/>
          <w:jc w:val="center"/>
        </w:trPr>
        <w:tc>
          <w:tcPr>
            <w:tcW w:w="558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BF55A12" w14:textId="77777777" w:rsidR="006E40C8" w:rsidRDefault="006E40C8" w:rsidP="002D293F">
            <w:pPr>
              <w:keepNext/>
              <w:widowControl w:val="0"/>
              <w:jc w:val="center"/>
              <w:rPr>
                <w:b/>
                <w:sz w:val="20"/>
                <w:szCs w:val="20"/>
              </w:rPr>
            </w:pPr>
            <w:bookmarkStart w:id="14" w:name="_46r0co2" w:colFirst="0" w:colLast="0"/>
            <w:bookmarkEnd w:id="13"/>
            <w:bookmarkEnd w:id="14"/>
            <w:r>
              <w:rPr>
                <w:b/>
                <w:sz w:val="20"/>
                <w:szCs w:val="20"/>
              </w:rPr>
              <w:lastRenderedPageBreak/>
              <w:t>SLO Target (2022)</w:t>
            </w:r>
          </w:p>
          <w:p w14:paraId="1E8D4666" w14:textId="77777777" w:rsidR="006E40C8" w:rsidRDefault="006E40C8" w:rsidP="002D293F">
            <w:pPr>
              <w:keepNext/>
              <w:widowControl w:val="0"/>
              <w:rPr>
                <w:b/>
                <w:sz w:val="20"/>
                <w:szCs w:val="20"/>
              </w:rPr>
            </w:pPr>
          </w:p>
          <w:p w14:paraId="2CD27313" w14:textId="77777777" w:rsidR="006E40C8" w:rsidRDefault="006E40C8" w:rsidP="002D293F">
            <w:pPr>
              <w:keepNext/>
              <w:widowControl w:val="0"/>
              <w:rPr>
                <w:b/>
                <w:sz w:val="20"/>
                <w:szCs w:val="20"/>
              </w:rPr>
            </w:pPr>
          </w:p>
        </w:tc>
        <w:tc>
          <w:tcPr>
            <w:tcW w:w="610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0956656" w14:textId="77777777" w:rsidR="006E40C8" w:rsidRPr="00F45CE6" w:rsidRDefault="006E40C8" w:rsidP="002D293F">
            <w:pPr>
              <w:keepNext/>
              <w:widowControl w:val="0"/>
              <w:rPr>
                <w:b/>
                <w:sz w:val="20"/>
                <w:szCs w:val="20"/>
              </w:rPr>
            </w:pPr>
            <w:r w:rsidRPr="00F45CE6">
              <w:rPr>
                <w:b/>
                <w:sz w:val="20"/>
                <w:szCs w:val="20"/>
              </w:rPr>
              <w:t xml:space="preserve">Brief summary of new evidence of CGIAR contribution </w:t>
            </w:r>
          </w:p>
          <w:p w14:paraId="1E83C131" w14:textId="77777777" w:rsidR="006E40C8" w:rsidRPr="00F45CE6" w:rsidRDefault="006E40C8" w:rsidP="002D293F">
            <w:pPr>
              <w:keepNext/>
              <w:widowControl w:val="0"/>
              <w:rPr>
                <w:b/>
                <w:sz w:val="20"/>
                <w:szCs w:val="20"/>
              </w:rPr>
            </w:pPr>
          </w:p>
          <w:p w14:paraId="3F97475F" w14:textId="51BC53C3" w:rsidR="006E40C8" w:rsidRDefault="006E40C8" w:rsidP="002D293F">
            <w:pPr>
              <w:keepNext/>
              <w:widowControl w:val="0"/>
              <w:rPr>
                <w:i/>
                <w:sz w:val="20"/>
                <w:szCs w:val="20"/>
              </w:rPr>
            </w:pPr>
            <w:r w:rsidRPr="00F45CE6">
              <w:rPr>
                <w:sz w:val="20"/>
                <w:szCs w:val="20"/>
              </w:rPr>
              <w:t xml:space="preserve">[Put N/A if the specific SRF target is not applicable to your </w:t>
            </w:r>
            <w:r>
              <w:rPr>
                <w:sz w:val="20"/>
                <w:szCs w:val="20"/>
              </w:rPr>
              <w:t>FP</w:t>
            </w:r>
            <w:r w:rsidRPr="00F45CE6">
              <w:rPr>
                <w:sz w:val="20"/>
                <w:szCs w:val="20"/>
              </w:rPr>
              <w:t>.  Put “No new evidence in 201</w:t>
            </w:r>
            <w:r w:rsidR="00B92662">
              <w:rPr>
                <w:sz w:val="20"/>
                <w:szCs w:val="20"/>
              </w:rPr>
              <w:t>9</w:t>
            </w:r>
            <w:r w:rsidRPr="00F45CE6">
              <w:rPr>
                <w:sz w:val="20"/>
                <w:szCs w:val="20"/>
              </w:rPr>
              <w:t>” if the target is potentially relevant, but there is no new evidence available</w:t>
            </w:r>
            <w:r w:rsidRPr="00F45CE6">
              <w:rPr>
                <w:b/>
                <w:sz w:val="20"/>
                <w:szCs w:val="20"/>
              </w:rPr>
              <w:t xml:space="preserve">.  </w:t>
            </w:r>
            <w:r w:rsidRPr="00F45CE6">
              <w:rPr>
                <w:i/>
                <w:sz w:val="20"/>
                <w:szCs w:val="20"/>
              </w:rPr>
              <w:t>Spell out all acronyms.]</w:t>
            </w:r>
          </w:p>
          <w:p w14:paraId="2999E7CC" w14:textId="77777777" w:rsidR="006E40C8" w:rsidRDefault="006E40C8" w:rsidP="002D293F">
            <w:pPr>
              <w:keepNext/>
              <w:widowControl w:val="0"/>
              <w:rPr>
                <w:i/>
                <w:sz w:val="20"/>
                <w:szCs w:val="20"/>
              </w:rPr>
            </w:pPr>
          </w:p>
          <w:p w14:paraId="105E4040" w14:textId="77777777" w:rsidR="006E40C8" w:rsidRPr="00F45CE6" w:rsidRDefault="006E40C8" w:rsidP="002D293F">
            <w:pPr>
              <w:keepNext/>
              <w:widowControl w:val="0"/>
              <w:rPr>
                <w:b/>
                <w:sz w:val="20"/>
                <w:szCs w:val="20"/>
              </w:rPr>
            </w:pPr>
            <w:r>
              <w:rPr>
                <w:i/>
                <w:sz w:val="20"/>
                <w:szCs w:val="20"/>
              </w:rPr>
              <w:t>Maximum 150 words per entry.</w:t>
            </w:r>
          </w:p>
        </w:tc>
        <w:tc>
          <w:tcPr>
            <w:tcW w:w="2800" w:type="dxa"/>
            <w:tcBorders>
              <w:top w:val="single" w:sz="8" w:space="0" w:color="000000"/>
              <w:left w:val="single" w:sz="8" w:space="0" w:color="000000"/>
              <w:bottom w:val="single" w:sz="8" w:space="0" w:color="000000"/>
              <w:right w:val="single" w:sz="8" w:space="0" w:color="000000"/>
            </w:tcBorders>
            <w:shd w:val="clear" w:color="auto" w:fill="FFF2CC"/>
          </w:tcPr>
          <w:p w14:paraId="0AD38123" w14:textId="77777777" w:rsidR="006E40C8" w:rsidRPr="00F45CE6" w:rsidRDefault="006E40C8" w:rsidP="002D293F">
            <w:pPr>
              <w:keepNext/>
              <w:widowControl w:val="0"/>
              <w:rPr>
                <w:sz w:val="20"/>
                <w:szCs w:val="20"/>
              </w:rPr>
            </w:pPr>
            <w:r w:rsidRPr="00F45CE6">
              <w:rPr>
                <w:b/>
                <w:sz w:val="20"/>
                <w:szCs w:val="20"/>
              </w:rPr>
              <w:t xml:space="preserve">Expected additional contribution before end of 2022 </w:t>
            </w:r>
            <w:r w:rsidRPr="00F45CE6">
              <w:rPr>
                <w:b/>
                <w:sz w:val="20"/>
                <w:szCs w:val="20"/>
              </w:rPr>
              <w:br/>
            </w:r>
            <w:r w:rsidRPr="00F45CE6">
              <w:rPr>
                <w:sz w:val="20"/>
                <w:szCs w:val="20"/>
              </w:rPr>
              <w:t>(if not already fully covered).</w:t>
            </w:r>
          </w:p>
          <w:p w14:paraId="6F0DE3CB" w14:textId="77777777" w:rsidR="006E40C8" w:rsidRPr="00F45CE6" w:rsidRDefault="006E40C8" w:rsidP="002D293F">
            <w:pPr>
              <w:keepNext/>
              <w:widowControl w:val="0"/>
              <w:rPr>
                <w:sz w:val="20"/>
                <w:szCs w:val="20"/>
              </w:rPr>
            </w:pPr>
          </w:p>
          <w:p w14:paraId="02E8D8E9" w14:textId="77777777" w:rsidR="006E40C8" w:rsidRDefault="006E40C8" w:rsidP="002D293F">
            <w:pPr>
              <w:keepNext/>
              <w:widowControl w:val="0"/>
              <w:rPr>
                <w:b/>
                <w:i/>
                <w:sz w:val="20"/>
                <w:szCs w:val="20"/>
              </w:rPr>
            </w:pPr>
            <w:r w:rsidRPr="00F45CE6">
              <w:rPr>
                <w:b/>
                <w:i/>
                <w:sz w:val="20"/>
                <w:szCs w:val="20"/>
              </w:rPr>
              <w:t>Optional narrative.  Evidence not required.</w:t>
            </w:r>
          </w:p>
          <w:p w14:paraId="39D6275B" w14:textId="77777777" w:rsidR="006E40C8" w:rsidRDefault="006E40C8" w:rsidP="002D293F">
            <w:pPr>
              <w:keepNext/>
              <w:widowControl w:val="0"/>
              <w:rPr>
                <w:b/>
                <w:i/>
                <w:sz w:val="20"/>
                <w:szCs w:val="20"/>
              </w:rPr>
            </w:pPr>
          </w:p>
          <w:p w14:paraId="67B09730" w14:textId="77777777" w:rsidR="006E40C8" w:rsidRPr="00853D9C" w:rsidRDefault="006E40C8" w:rsidP="002D293F">
            <w:pPr>
              <w:keepNext/>
              <w:widowControl w:val="0"/>
              <w:rPr>
                <w:i/>
                <w:sz w:val="20"/>
                <w:szCs w:val="20"/>
              </w:rPr>
            </w:pPr>
            <w:r w:rsidRPr="00853D9C">
              <w:rPr>
                <w:i/>
                <w:sz w:val="20"/>
                <w:szCs w:val="20"/>
              </w:rPr>
              <w:t>Max</w:t>
            </w:r>
            <w:r>
              <w:rPr>
                <w:i/>
                <w:sz w:val="20"/>
                <w:szCs w:val="20"/>
              </w:rPr>
              <w:t>.</w:t>
            </w:r>
            <w:r w:rsidRPr="00853D9C">
              <w:rPr>
                <w:i/>
                <w:sz w:val="20"/>
                <w:szCs w:val="20"/>
              </w:rPr>
              <w:t xml:space="preserve"> </w:t>
            </w:r>
            <w:r>
              <w:rPr>
                <w:i/>
                <w:sz w:val="20"/>
                <w:szCs w:val="20"/>
              </w:rPr>
              <w:t>100</w:t>
            </w:r>
            <w:r w:rsidRPr="00853D9C">
              <w:rPr>
                <w:i/>
                <w:sz w:val="20"/>
                <w:szCs w:val="20"/>
              </w:rPr>
              <w:t xml:space="preserve"> words</w:t>
            </w:r>
          </w:p>
        </w:tc>
      </w:tr>
      <w:tr w:rsidR="005C0ABE" w14:paraId="6B9CB4F8" w14:textId="77777777" w:rsidTr="00E72DEF">
        <w:trPr>
          <w:cantSplit/>
          <w:trHeight w:val="594"/>
          <w:jc w:val="center"/>
        </w:trPr>
        <w:tc>
          <w:tcPr>
            <w:tcW w:w="5585" w:type="dxa"/>
            <w:tcBorders>
              <w:top w:val="single" w:sz="8" w:space="0" w:color="000000"/>
            </w:tcBorders>
            <w:shd w:val="clear" w:color="auto" w:fill="FFF2CC"/>
            <w:tcMar>
              <w:top w:w="100" w:type="dxa"/>
              <w:left w:w="100" w:type="dxa"/>
              <w:bottom w:w="100" w:type="dxa"/>
              <w:right w:w="100" w:type="dxa"/>
            </w:tcMar>
          </w:tcPr>
          <w:p w14:paraId="62336923" w14:textId="77777777" w:rsidR="005C0ABE" w:rsidRDefault="005C0ABE" w:rsidP="005C0ABE">
            <w:pPr>
              <w:keepNext/>
              <w:widowControl w:val="0"/>
              <w:rPr>
                <w:sz w:val="20"/>
                <w:szCs w:val="20"/>
              </w:rPr>
            </w:pPr>
            <w:r>
              <w:rPr>
                <w:b/>
                <w:sz w:val="20"/>
                <w:szCs w:val="20"/>
              </w:rPr>
              <w:t>1.1.</w:t>
            </w:r>
            <w:r>
              <w:rPr>
                <w:sz w:val="20"/>
                <w:szCs w:val="20"/>
              </w:rPr>
              <w:t xml:space="preserve"> 100 million more farm households have adopted improved varieties, breeds, trees, and/or management practices </w:t>
            </w:r>
          </w:p>
        </w:tc>
        <w:tc>
          <w:tcPr>
            <w:tcW w:w="6105" w:type="dxa"/>
            <w:tcBorders>
              <w:top w:val="single" w:sz="8" w:space="0" w:color="000000"/>
            </w:tcBorders>
            <w:tcMar>
              <w:top w:w="100" w:type="dxa"/>
              <w:left w:w="100" w:type="dxa"/>
              <w:bottom w:w="100" w:type="dxa"/>
              <w:right w:w="100" w:type="dxa"/>
            </w:tcMar>
          </w:tcPr>
          <w:p w14:paraId="73BC6ECC" w14:textId="0B517ADD" w:rsidR="00F443B8" w:rsidRDefault="00C25FC0" w:rsidP="00413768">
            <w:pPr>
              <w:keepNext/>
              <w:widowControl w:val="0"/>
              <w:rPr>
                <w:rStyle w:val="Hyperlink"/>
                <w:sz w:val="20"/>
                <w:szCs w:val="20"/>
              </w:rPr>
            </w:pPr>
            <w:r>
              <w:rPr>
                <w:rFonts w:asciiTheme="majorHAnsi" w:hAnsiTheme="majorHAnsi" w:cstheme="majorHAnsi"/>
                <w:sz w:val="20"/>
                <w:szCs w:val="20"/>
              </w:rPr>
              <w:t xml:space="preserve">1. </w:t>
            </w:r>
            <w:r w:rsidR="00B92971" w:rsidRPr="00C25FC0">
              <w:rPr>
                <w:rFonts w:asciiTheme="majorHAnsi" w:hAnsiTheme="majorHAnsi" w:cstheme="majorHAnsi"/>
                <w:sz w:val="20"/>
                <w:szCs w:val="20"/>
              </w:rPr>
              <w:t>A study conducted in Nigeria using a nationally representative sample survey of over 1,500 cowpea producing households showed that over</w:t>
            </w:r>
            <w:r w:rsidR="00413768" w:rsidRPr="00C25FC0">
              <w:rPr>
                <w:rFonts w:asciiTheme="majorHAnsi" w:hAnsiTheme="majorHAnsi" w:cstheme="majorHAnsi"/>
                <w:sz w:val="20"/>
                <w:szCs w:val="20"/>
              </w:rPr>
              <w:t xml:space="preserve"> </w:t>
            </w:r>
            <w:r w:rsidR="00B92971" w:rsidRPr="00C25FC0">
              <w:rPr>
                <w:rFonts w:asciiTheme="majorHAnsi" w:hAnsiTheme="majorHAnsi" w:cstheme="majorHAnsi"/>
                <w:sz w:val="20"/>
                <w:szCs w:val="20"/>
              </w:rPr>
              <w:t xml:space="preserve">40% of the cowpea producers </w:t>
            </w:r>
            <w:r w:rsidR="00413768" w:rsidRPr="00C25FC0">
              <w:rPr>
                <w:rFonts w:asciiTheme="majorHAnsi" w:hAnsiTheme="majorHAnsi" w:cstheme="majorHAnsi"/>
                <w:sz w:val="20"/>
                <w:szCs w:val="20"/>
              </w:rPr>
              <w:t xml:space="preserve">(equivalent approximately to 900,000 households) </w:t>
            </w:r>
            <w:r w:rsidR="00B92971" w:rsidRPr="00C25FC0">
              <w:rPr>
                <w:rFonts w:asciiTheme="majorHAnsi" w:hAnsiTheme="majorHAnsi" w:cstheme="majorHAnsi"/>
                <w:sz w:val="20"/>
                <w:szCs w:val="20"/>
              </w:rPr>
              <w:t>adopted improved varieties on over 1 million hectares of land</w:t>
            </w:r>
            <w:r w:rsidR="00413768" w:rsidRPr="00C25FC0">
              <w:rPr>
                <w:rFonts w:asciiTheme="majorHAnsi" w:hAnsiTheme="majorHAnsi" w:cstheme="majorHAnsi"/>
                <w:sz w:val="20"/>
                <w:szCs w:val="20"/>
              </w:rPr>
              <w:t>.</w:t>
            </w:r>
            <w:r w:rsidR="00B92971" w:rsidRPr="00B92971">
              <w:rPr>
                <w:rFonts w:asciiTheme="majorHAnsi" w:hAnsiTheme="majorHAnsi" w:cstheme="majorHAnsi"/>
                <w:sz w:val="20"/>
                <w:szCs w:val="20"/>
              </w:rPr>
              <w:t xml:space="preserve"> </w:t>
            </w:r>
            <w:hyperlink r:id="rId34" w:history="1">
              <w:r w:rsidR="00F443B8" w:rsidRPr="00F443B8">
                <w:rPr>
                  <w:rStyle w:val="Hyperlink"/>
                  <w:sz w:val="20"/>
                  <w:szCs w:val="20"/>
                </w:rPr>
                <w:t>https://doi.org/10.1111/1477-9552.12331</w:t>
              </w:r>
            </w:hyperlink>
          </w:p>
          <w:p w14:paraId="7FC136CE" w14:textId="77777777" w:rsidR="00C25FC0" w:rsidRDefault="00C25FC0" w:rsidP="00413768">
            <w:pPr>
              <w:keepNext/>
              <w:widowControl w:val="0"/>
              <w:rPr>
                <w:rStyle w:val="Hyperlink"/>
              </w:rPr>
            </w:pPr>
          </w:p>
          <w:p w14:paraId="6858E3C0" w14:textId="204A5066" w:rsidR="00D07A09" w:rsidRDefault="00D07A09" w:rsidP="00D07A09">
            <w:pPr>
              <w:keepNext/>
              <w:widowControl w:val="0"/>
              <w:rPr>
                <w:rStyle w:val="Hyperlink"/>
              </w:rPr>
            </w:pPr>
            <w:r w:rsidRPr="00C25FC0">
              <w:rPr>
                <w:rFonts w:asciiTheme="majorHAnsi" w:hAnsiTheme="majorHAnsi" w:cstheme="majorHAnsi"/>
                <w:sz w:val="20"/>
                <w:szCs w:val="20"/>
              </w:rPr>
              <w:t>2.</w:t>
            </w:r>
            <w:r>
              <w:rPr>
                <w:rStyle w:val="Hyperlink"/>
              </w:rPr>
              <w:t xml:space="preserve"> </w:t>
            </w:r>
            <w:r w:rsidRPr="00C25FC0">
              <w:rPr>
                <w:rFonts w:asciiTheme="majorHAnsi" w:hAnsiTheme="majorHAnsi" w:cstheme="majorHAnsi"/>
                <w:sz w:val="20"/>
                <w:szCs w:val="20"/>
              </w:rPr>
              <w:t xml:space="preserve">A study conducted in Malawi using a nationally representative sample of over 1200 soybean growing households showed that </w:t>
            </w:r>
            <w:r w:rsidR="00430F73">
              <w:rPr>
                <w:rFonts w:asciiTheme="majorHAnsi" w:hAnsiTheme="majorHAnsi" w:cstheme="majorHAnsi"/>
                <w:sz w:val="20"/>
                <w:szCs w:val="20"/>
              </w:rPr>
              <w:t>over 33%</w:t>
            </w:r>
            <w:r w:rsidRPr="00C25FC0">
              <w:rPr>
                <w:rFonts w:asciiTheme="majorHAnsi" w:hAnsiTheme="majorHAnsi" w:cstheme="majorHAnsi"/>
                <w:sz w:val="20"/>
                <w:szCs w:val="20"/>
              </w:rPr>
              <w:t xml:space="preserve"> </w:t>
            </w:r>
            <w:r w:rsidR="00430F73">
              <w:rPr>
                <w:rFonts w:asciiTheme="majorHAnsi" w:hAnsiTheme="majorHAnsi" w:cstheme="majorHAnsi"/>
                <w:sz w:val="20"/>
                <w:szCs w:val="20"/>
              </w:rPr>
              <w:t xml:space="preserve">of </w:t>
            </w:r>
            <w:r w:rsidRPr="00C25FC0">
              <w:rPr>
                <w:rFonts w:asciiTheme="majorHAnsi" w:hAnsiTheme="majorHAnsi" w:cstheme="majorHAnsi"/>
                <w:sz w:val="20"/>
                <w:szCs w:val="20"/>
              </w:rPr>
              <w:t xml:space="preserve">the </w:t>
            </w:r>
            <w:r w:rsidR="00430F73">
              <w:rPr>
                <w:rFonts w:asciiTheme="majorHAnsi" w:hAnsiTheme="majorHAnsi" w:cstheme="majorHAnsi"/>
                <w:sz w:val="20"/>
                <w:szCs w:val="20"/>
              </w:rPr>
              <w:t xml:space="preserve">households adopted </w:t>
            </w:r>
            <w:r w:rsidRPr="00C25FC0">
              <w:rPr>
                <w:rFonts w:asciiTheme="majorHAnsi" w:hAnsiTheme="majorHAnsi" w:cstheme="majorHAnsi"/>
                <w:sz w:val="20"/>
                <w:szCs w:val="20"/>
              </w:rPr>
              <w:t>improved varieties following the recommended agronomic practices.</w:t>
            </w:r>
          </w:p>
          <w:p w14:paraId="35263862" w14:textId="77777777" w:rsidR="00D07A09" w:rsidRPr="00C25FC0" w:rsidRDefault="00D07A09" w:rsidP="00D07A09">
            <w:pPr>
              <w:keepNext/>
              <w:widowControl w:val="0"/>
              <w:rPr>
                <w:rStyle w:val="Hyperlink"/>
                <w:color w:val="auto"/>
                <w:sz w:val="20"/>
                <w:szCs w:val="20"/>
              </w:rPr>
            </w:pPr>
            <w:r w:rsidRPr="00C25FC0">
              <w:rPr>
                <w:rStyle w:val="Hyperlink"/>
                <w:color w:val="auto"/>
                <w:sz w:val="20"/>
                <w:szCs w:val="20"/>
              </w:rPr>
              <w:t>(</w:t>
            </w:r>
            <w:hyperlink r:id="rId35" w:history="1">
              <w:r w:rsidRPr="000D0762">
                <w:rPr>
                  <w:rStyle w:val="Hyperlink"/>
                  <w:sz w:val="20"/>
                  <w:szCs w:val="20"/>
                </w:rPr>
                <w:t>https://doi.org/10.1016/j.worlddev.2019.104631</w:t>
              </w:r>
            </w:hyperlink>
            <w:r w:rsidRPr="00C25FC0">
              <w:rPr>
                <w:rStyle w:val="Hyperlink"/>
                <w:color w:val="auto"/>
                <w:sz w:val="20"/>
                <w:szCs w:val="20"/>
              </w:rPr>
              <w:t>)</w:t>
            </w:r>
          </w:p>
          <w:p w14:paraId="69555262" w14:textId="4ADBABC1" w:rsidR="00C25FC0" w:rsidRDefault="00C25FC0" w:rsidP="00413768">
            <w:pPr>
              <w:keepNext/>
              <w:widowControl w:val="0"/>
              <w:rPr>
                <w:color w:val="000099"/>
                <w:sz w:val="20"/>
                <w:szCs w:val="20"/>
              </w:rPr>
            </w:pPr>
          </w:p>
        </w:tc>
        <w:tc>
          <w:tcPr>
            <w:tcW w:w="2800" w:type="dxa"/>
            <w:tcBorders>
              <w:top w:val="single" w:sz="8" w:space="0" w:color="000000"/>
            </w:tcBorders>
          </w:tcPr>
          <w:p w14:paraId="09465E4F" w14:textId="280E80E1" w:rsidR="005C0ABE" w:rsidRDefault="00413768" w:rsidP="005C0ABE">
            <w:pPr>
              <w:keepNext/>
              <w:widowControl w:val="0"/>
              <w:rPr>
                <w:color w:val="000099"/>
                <w:sz w:val="20"/>
                <w:szCs w:val="20"/>
              </w:rPr>
            </w:pPr>
            <w:r>
              <w:rPr>
                <w:color w:val="000099"/>
                <w:sz w:val="20"/>
                <w:szCs w:val="20"/>
              </w:rPr>
              <w:t>No</w:t>
            </w:r>
          </w:p>
        </w:tc>
      </w:tr>
      <w:tr w:rsidR="005C0ABE" w14:paraId="5F07C9B4" w14:textId="77777777" w:rsidTr="00E72DEF">
        <w:trPr>
          <w:cantSplit/>
          <w:trHeight w:val="500"/>
          <w:jc w:val="center"/>
        </w:trPr>
        <w:tc>
          <w:tcPr>
            <w:tcW w:w="5585" w:type="dxa"/>
            <w:shd w:val="clear" w:color="auto" w:fill="FFF2CC"/>
            <w:tcMar>
              <w:top w:w="100" w:type="dxa"/>
              <w:left w:w="100" w:type="dxa"/>
              <w:bottom w:w="100" w:type="dxa"/>
              <w:right w:w="100" w:type="dxa"/>
            </w:tcMar>
          </w:tcPr>
          <w:p w14:paraId="75D777BD" w14:textId="77777777" w:rsidR="005C0ABE" w:rsidRDefault="005C0ABE" w:rsidP="005C0ABE">
            <w:pPr>
              <w:keepNext/>
              <w:widowControl w:val="0"/>
              <w:rPr>
                <w:sz w:val="20"/>
                <w:szCs w:val="20"/>
              </w:rPr>
            </w:pPr>
            <w:r>
              <w:rPr>
                <w:b/>
                <w:sz w:val="20"/>
                <w:szCs w:val="20"/>
              </w:rPr>
              <w:t>1.2.</w:t>
            </w:r>
            <w:r>
              <w:rPr>
                <w:sz w:val="20"/>
                <w:szCs w:val="20"/>
              </w:rPr>
              <w:t xml:space="preserve"> 30 million people, of which 50% are women, assisted to exit poverty</w:t>
            </w:r>
          </w:p>
        </w:tc>
        <w:tc>
          <w:tcPr>
            <w:tcW w:w="6105" w:type="dxa"/>
            <w:tcMar>
              <w:top w:w="100" w:type="dxa"/>
              <w:left w:w="100" w:type="dxa"/>
              <w:bottom w:w="100" w:type="dxa"/>
              <w:right w:w="100" w:type="dxa"/>
            </w:tcMar>
          </w:tcPr>
          <w:p w14:paraId="28CBAD31" w14:textId="5AC718A5" w:rsidR="00F443B8" w:rsidRPr="009959A6" w:rsidRDefault="004F351A" w:rsidP="005C0ABE">
            <w:pPr>
              <w:keepNext/>
              <w:widowControl w:val="0"/>
              <w:rPr>
                <w:rStyle w:val="Hyperlink"/>
                <w:rFonts w:asciiTheme="majorHAnsi" w:hAnsiTheme="majorHAnsi" w:cstheme="majorHAnsi"/>
                <w:sz w:val="20"/>
                <w:szCs w:val="20"/>
              </w:rPr>
            </w:pPr>
            <w:r>
              <w:rPr>
                <w:rFonts w:asciiTheme="majorHAnsi" w:hAnsiTheme="majorHAnsi" w:cstheme="majorHAnsi"/>
                <w:sz w:val="20"/>
                <w:szCs w:val="20"/>
              </w:rPr>
              <w:t>A</w:t>
            </w:r>
            <w:r w:rsidR="008F1361" w:rsidRPr="009959A6">
              <w:rPr>
                <w:rFonts w:asciiTheme="majorHAnsi" w:hAnsiTheme="majorHAnsi" w:cstheme="majorHAnsi"/>
                <w:sz w:val="20"/>
                <w:szCs w:val="20"/>
              </w:rPr>
              <w:t xml:space="preserve"> study </w:t>
            </w:r>
            <w:r>
              <w:rPr>
                <w:rFonts w:asciiTheme="majorHAnsi" w:hAnsiTheme="majorHAnsi" w:cstheme="majorHAnsi"/>
                <w:sz w:val="20"/>
                <w:szCs w:val="20"/>
              </w:rPr>
              <w:t xml:space="preserve">conducted in Nigeria </w:t>
            </w:r>
            <w:r w:rsidR="008F1361" w:rsidRPr="009959A6">
              <w:rPr>
                <w:rFonts w:asciiTheme="majorHAnsi" w:hAnsiTheme="majorHAnsi" w:cstheme="majorHAnsi"/>
                <w:sz w:val="20"/>
                <w:szCs w:val="20"/>
              </w:rPr>
              <w:t>showed that adoption of improved cowpea varieties led to a 17 percentage-point increase in household income, a 24 percentage-point increase in asset ownership, and a 5 percentage-point reduction in the incidence of poverty, which is equivalent to 929,450 people lifted out of poverty due to adoption of improved varieties.</w:t>
            </w:r>
          </w:p>
          <w:p w14:paraId="6619925B" w14:textId="05A9F102" w:rsidR="005C0ABE" w:rsidRPr="004F351A" w:rsidRDefault="008F1361" w:rsidP="005C0ABE">
            <w:pPr>
              <w:keepNext/>
              <w:widowControl w:val="0"/>
              <w:rPr>
                <w:rFonts w:asciiTheme="majorHAnsi" w:hAnsiTheme="majorHAnsi" w:cstheme="majorHAnsi"/>
                <w:color w:val="000099"/>
                <w:sz w:val="20"/>
                <w:szCs w:val="20"/>
              </w:rPr>
            </w:pPr>
            <w:r w:rsidRPr="004F351A">
              <w:rPr>
                <w:rStyle w:val="Hyperlink"/>
                <w:rFonts w:asciiTheme="majorHAnsi" w:hAnsiTheme="majorHAnsi" w:cstheme="majorHAnsi"/>
                <w:sz w:val="20"/>
                <w:szCs w:val="20"/>
              </w:rPr>
              <w:t>(</w:t>
            </w:r>
            <w:r w:rsidR="00F443B8" w:rsidRPr="004F351A">
              <w:rPr>
                <w:rStyle w:val="Hyperlink"/>
                <w:rFonts w:asciiTheme="majorHAnsi" w:hAnsiTheme="majorHAnsi" w:cstheme="majorHAnsi"/>
                <w:sz w:val="20"/>
                <w:szCs w:val="20"/>
              </w:rPr>
              <w:t>https://doi.org/10.1016/j.worlddev.2019.05.027</w:t>
            </w:r>
            <w:r w:rsidRPr="004F351A">
              <w:rPr>
                <w:rStyle w:val="Hyperlink"/>
                <w:rFonts w:asciiTheme="majorHAnsi" w:hAnsiTheme="majorHAnsi" w:cstheme="majorHAnsi"/>
                <w:sz w:val="20"/>
                <w:szCs w:val="20"/>
              </w:rPr>
              <w:t>)</w:t>
            </w:r>
          </w:p>
        </w:tc>
        <w:tc>
          <w:tcPr>
            <w:tcW w:w="2800" w:type="dxa"/>
          </w:tcPr>
          <w:p w14:paraId="7E10A145" w14:textId="087C9A39" w:rsidR="005C0ABE" w:rsidRDefault="00413768" w:rsidP="005C0ABE">
            <w:pPr>
              <w:keepNext/>
              <w:widowControl w:val="0"/>
              <w:rPr>
                <w:color w:val="000099"/>
                <w:sz w:val="20"/>
                <w:szCs w:val="20"/>
              </w:rPr>
            </w:pPr>
            <w:r>
              <w:rPr>
                <w:color w:val="000099"/>
                <w:sz w:val="20"/>
                <w:szCs w:val="20"/>
              </w:rPr>
              <w:t>No</w:t>
            </w:r>
          </w:p>
        </w:tc>
      </w:tr>
      <w:tr w:rsidR="005C0ABE" w14:paraId="5F425F68" w14:textId="77777777" w:rsidTr="00E72DEF">
        <w:trPr>
          <w:cantSplit/>
          <w:trHeight w:val="616"/>
          <w:jc w:val="center"/>
        </w:trPr>
        <w:tc>
          <w:tcPr>
            <w:tcW w:w="5585" w:type="dxa"/>
            <w:shd w:val="clear" w:color="auto" w:fill="FFF2CC"/>
            <w:tcMar>
              <w:top w:w="100" w:type="dxa"/>
              <w:left w:w="100" w:type="dxa"/>
              <w:bottom w:w="100" w:type="dxa"/>
              <w:right w:w="100" w:type="dxa"/>
            </w:tcMar>
          </w:tcPr>
          <w:p w14:paraId="48D1DF1F" w14:textId="77777777" w:rsidR="005C0ABE" w:rsidRDefault="005C0ABE" w:rsidP="005C0ABE">
            <w:pPr>
              <w:keepNext/>
              <w:widowControl w:val="0"/>
              <w:rPr>
                <w:sz w:val="20"/>
                <w:szCs w:val="20"/>
              </w:rPr>
            </w:pPr>
            <w:r>
              <w:rPr>
                <w:b/>
                <w:sz w:val="20"/>
                <w:szCs w:val="20"/>
              </w:rPr>
              <w:lastRenderedPageBreak/>
              <w:t>2.1.</w:t>
            </w:r>
            <w:r>
              <w:rPr>
                <w:sz w:val="20"/>
                <w:szCs w:val="20"/>
              </w:rPr>
              <w:t xml:space="preserve"> Improve the rate of yield increase for major food staples from current &lt;1% to 1.2-1.5% per year</w:t>
            </w:r>
          </w:p>
        </w:tc>
        <w:tc>
          <w:tcPr>
            <w:tcW w:w="6105" w:type="dxa"/>
            <w:tcMar>
              <w:top w:w="100" w:type="dxa"/>
              <w:left w:w="100" w:type="dxa"/>
              <w:bottom w:w="100" w:type="dxa"/>
              <w:right w:w="100" w:type="dxa"/>
            </w:tcMar>
          </w:tcPr>
          <w:p w14:paraId="1875C511" w14:textId="6B9AC764" w:rsidR="00B92971" w:rsidRDefault="00B92971" w:rsidP="00B92971">
            <w:pPr>
              <w:keepNext/>
              <w:widowControl w:val="0"/>
              <w:rPr>
                <w:color w:val="000099"/>
                <w:sz w:val="20"/>
                <w:szCs w:val="20"/>
              </w:rPr>
            </w:pPr>
            <w:r>
              <w:rPr>
                <w:color w:val="000099"/>
                <w:sz w:val="20"/>
                <w:szCs w:val="20"/>
              </w:rPr>
              <w:t xml:space="preserve">1. </w:t>
            </w:r>
            <w:r w:rsidRPr="00B92971">
              <w:rPr>
                <w:rFonts w:asciiTheme="majorHAnsi" w:hAnsiTheme="majorHAnsi" w:cstheme="majorHAnsi"/>
                <w:sz w:val="20"/>
                <w:szCs w:val="20"/>
              </w:rPr>
              <w:t xml:space="preserve">A study conducted in Nigeria using a nationally representative sample survey of over 1,500 cowpea producing households showed that adoption of </w:t>
            </w:r>
            <w:r>
              <w:rPr>
                <w:rFonts w:asciiTheme="majorHAnsi" w:hAnsiTheme="majorHAnsi" w:cstheme="majorHAnsi"/>
                <w:sz w:val="20"/>
                <w:szCs w:val="20"/>
              </w:rPr>
              <w:t>improved</w:t>
            </w:r>
            <w:r w:rsidRPr="00B92971">
              <w:rPr>
                <w:rFonts w:asciiTheme="majorHAnsi" w:hAnsiTheme="majorHAnsi" w:cstheme="majorHAnsi"/>
                <w:sz w:val="20"/>
                <w:szCs w:val="20"/>
              </w:rPr>
              <w:t xml:space="preserve"> varieties was associated on average with a 26% increase in yields, 14% increase in production costs, and 61% increase in net returns per hectare</w:t>
            </w:r>
            <w:r>
              <w:rPr>
                <w:rFonts w:asciiTheme="majorHAnsi" w:hAnsiTheme="majorHAnsi" w:cstheme="majorHAnsi"/>
                <w:sz w:val="20"/>
                <w:szCs w:val="20"/>
              </w:rPr>
              <w:t xml:space="preserve"> (</w:t>
            </w:r>
            <w:hyperlink r:id="rId36" w:history="1">
              <w:r w:rsidRPr="00F443B8">
                <w:rPr>
                  <w:rStyle w:val="Hyperlink"/>
                  <w:sz w:val="20"/>
                  <w:szCs w:val="20"/>
                </w:rPr>
                <w:t>https://doi.org/10.1111/1477-9552.12331</w:t>
              </w:r>
            </w:hyperlink>
            <w:r w:rsidRPr="00413768">
              <w:rPr>
                <w:rStyle w:val="Hyperlink"/>
                <w:color w:val="auto"/>
                <w:sz w:val="20"/>
                <w:szCs w:val="20"/>
              </w:rPr>
              <w:t>).</w:t>
            </w:r>
          </w:p>
          <w:p w14:paraId="7915D6B8" w14:textId="77777777" w:rsidR="00B92971" w:rsidRDefault="00B92971" w:rsidP="00B92971">
            <w:pPr>
              <w:keepNext/>
              <w:widowControl w:val="0"/>
              <w:rPr>
                <w:color w:val="000099"/>
                <w:sz w:val="20"/>
                <w:szCs w:val="20"/>
              </w:rPr>
            </w:pPr>
          </w:p>
          <w:p w14:paraId="5D721A7A" w14:textId="3E59D5FB" w:rsidR="00F443B8" w:rsidRDefault="00C25FC0" w:rsidP="005C0ABE">
            <w:pPr>
              <w:keepNext/>
              <w:widowControl w:val="0"/>
              <w:rPr>
                <w:rStyle w:val="Hyperlink"/>
              </w:rPr>
            </w:pPr>
            <w:r w:rsidRPr="00C25FC0">
              <w:rPr>
                <w:rFonts w:asciiTheme="majorHAnsi" w:hAnsiTheme="majorHAnsi" w:cstheme="majorHAnsi"/>
                <w:sz w:val="20"/>
                <w:szCs w:val="20"/>
              </w:rPr>
              <w:t>2.</w:t>
            </w:r>
            <w:r>
              <w:rPr>
                <w:rStyle w:val="Hyperlink"/>
              </w:rPr>
              <w:t xml:space="preserve"> </w:t>
            </w:r>
            <w:r w:rsidRPr="00C25FC0">
              <w:rPr>
                <w:rFonts w:asciiTheme="majorHAnsi" w:hAnsiTheme="majorHAnsi" w:cstheme="majorHAnsi"/>
                <w:sz w:val="20"/>
                <w:szCs w:val="20"/>
              </w:rPr>
              <w:t>A study conducted in Malawi using a nationally representative sample of over 1200 soybean growing households showed that 34% the total soybean area was planted to improved varieties following the recommended agronomic practices</w:t>
            </w:r>
            <w:r>
              <w:rPr>
                <w:rFonts w:asciiTheme="majorHAnsi" w:hAnsiTheme="majorHAnsi" w:cstheme="majorHAnsi"/>
                <w:sz w:val="20"/>
                <w:szCs w:val="20"/>
              </w:rPr>
              <w:t xml:space="preserve"> and</w:t>
            </w:r>
            <w:r w:rsidRPr="00C25FC0">
              <w:rPr>
                <w:rFonts w:asciiTheme="majorHAnsi" w:hAnsiTheme="majorHAnsi" w:cstheme="majorHAnsi"/>
                <w:sz w:val="20"/>
                <w:szCs w:val="20"/>
              </w:rPr>
              <w:t xml:space="preserve"> adoption of improved soybean varieties and agronomic practices led to an average of 61% yield gain and 53% net income gain for adopters.</w:t>
            </w:r>
          </w:p>
          <w:p w14:paraId="1FF23F3D" w14:textId="4E3A2078" w:rsidR="00F443B8" w:rsidRPr="00C25FC0" w:rsidRDefault="00C25FC0" w:rsidP="005C0ABE">
            <w:pPr>
              <w:keepNext/>
              <w:widowControl w:val="0"/>
              <w:rPr>
                <w:rStyle w:val="Hyperlink"/>
                <w:color w:val="auto"/>
                <w:sz w:val="20"/>
                <w:szCs w:val="20"/>
              </w:rPr>
            </w:pPr>
            <w:r w:rsidRPr="00C25FC0">
              <w:rPr>
                <w:rStyle w:val="Hyperlink"/>
                <w:color w:val="auto"/>
                <w:sz w:val="20"/>
                <w:szCs w:val="20"/>
              </w:rPr>
              <w:t>(</w:t>
            </w:r>
            <w:hyperlink r:id="rId37" w:history="1">
              <w:r w:rsidRPr="000D0762">
                <w:rPr>
                  <w:rStyle w:val="Hyperlink"/>
                  <w:sz w:val="20"/>
                  <w:szCs w:val="20"/>
                </w:rPr>
                <w:t>https://doi.org/10.1016/j.worlddev.2019.104631</w:t>
              </w:r>
            </w:hyperlink>
            <w:r w:rsidRPr="00C25FC0">
              <w:rPr>
                <w:rStyle w:val="Hyperlink"/>
                <w:color w:val="auto"/>
                <w:sz w:val="20"/>
                <w:szCs w:val="20"/>
              </w:rPr>
              <w:t>)</w:t>
            </w:r>
          </w:p>
          <w:p w14:paraId="1EF9CDC9" w14:textId="77777777" w:rsidR="00B92971" w:rsidRDefault="00B92971" w:rsidP="005C0ABE">
            <w:pPr>
              <w:keepNext/>
              <w:widowControl w:val="0"/>
              <w:rPr>
                <w:rStyle w:val="Hyperlink"/>
              </w:rPr>
            </w:pPr>
          </w:p>
          <w:p w14:paraId="36699535" w14:textId="0CDF6010" w:rsidR="00B92971" w:rsidRDefault="00B92971" w:rsidP="005C0ABE">
            <w:pPr>
              <w:keepNext/>
              <w:widowControl w:val="0"/>
              <w:rPr>
                <w:color w:val="000099"/>
                <w:sz w:val="20"/>
                <w:szCs w:val="20"/>
              </w:rPr>
            </w:pPr>
            <w:r>
              <w:rPr>
                <w:sz w:val="20"/>
                <w:szCs w:val="20"/>
              </w:rPr>
              <w:t xml:space="preserve">3. </w:t>
            </w:r>
            <w:r w:rsidRPr="0011529B">
              <w:rPr>
                <w:rFonts w:asciiTheme="majorHAnsi" w:hAnsiTheme="majorHAnsi" w:cstheme="majorHAnsi"/>
                <w:sz w:val="20"/>
                <w:szCs w:val="20"/>
              </w:rPr>
              <w:t>In Myanmar, adoption of early maturing improved chickpea varieties led to 50% productivity gains.</w:t>
            </w:r>
            <w:r w:rsidRPr="00F443B8">
              <w:rPr>
                <w:sz w:val="20"/>
                <w:szCs w:val="20"/>
              </w:rPr>
              <w:t xml:space="preserve"> </w:t>
            </w:r>
            <w:r w:rsidRPr="0011529B">
              <w:rPr>
                <w:rFonts w:asciiTheme="majorHAnsi" w:hAnsiTheme="majorHAnsi" w:cstheme="majorHAnsi"/>
                <w:color w:val="000099"/>
                <w:sz w:val="20"/>
                <w:szCs w:val="20"/>
              </w:rPr>
              <w:t>(</w:t>
            </w:r>
            <w:hyperlink r:id="rId38" w:history="1">
              <w:r w:rsidRPr="0011529B">
                <w:rPr>
                  <w:rStyle w:val="Hyperlink"/>
                  <w:rFonts w:asciiTheme="majorHAnsi" w:hAnsiTheme="majorHAnsi" w:cstheme="majorHAnsi"/>
                  <w:sz w:val="20"/>
                  <w:szCs w:val="20"/>
                </w:rPr>
                <w:t>https://hdl.handle.net/20.500.11766/9784</w:t>
              </w:r>
            </w:hyperlink>
            <w:r w:rsidRPr="0011529B">
              <w:rPr>
                <w:rFonts w:asciiTheme="majorHAnsi" w:hAnsiTheme="majorHAnsi" w:cstheme="majorHAnsi"/>
                <w:color w:val="000099"/>
                <w:sz w:val="20"/>
                <w:szCs w:val="20"/>
              </w:rPr>
              <w:t>)</w:t>
            </w:r>
          </w:p>
        </w:tc>
        <w:tc>
          <w:tcPr>
            <w:tcW w:w="2800" w:type="dxa"/>
          </w:tcPr>
          <w:p w14:paraId="0B8DF025" w14:textId="269D4BB7" w:rsidR="005C0ABE" w:rsidRDefault="00955CDD" w:rsidP="005C0ABE">
            <w:pPr>
              <w:keepNext/>
              <w:widowControl w:val="0"/>
              <w:rPr>
                <w:color w:val="000099"/>
                <w:sz w:val="20"/>
                <w:szCs w:val="20"/>
              </w:rPr>
            </w:pPr>
            <w:r>
              <w:rPr>
                <w:color w:val="000099"/>
                <w:sz w:val="20"/>
                <w:szCs w:val="20"/>
              </w:rPr>
              <w:t xml:space="preserve"> </w:t>
            </w:r>
            <w:r w:rsidR="00413768">
              <w:rPr>
                <w:color w:val="000099"/>
                <w:sz w:val="20"/>
                <w:szCs w:val="20"/>
              </w:rPr>
              <w:t>No</w:t>
            </w:r>
          </w:p>
        </w:tc>
      </w:tr>
      <w:tr w:rsidR="005C0ABE" w14:paraId="1F03442C" w14:textId="77777777" w:rsidTr="00E72DEF">
        <w:trPr>
          <w:cantSplit/>
          <w:trHeight w:val="600"/>
          <w:jc w:val="center"/>
        </w:trPr>
        <w:tc>
          <w:tcPr>
            <w:tcW w:w="5585" w:type="dxa"/>
            <w:shd w:val="clear" w:color="auto" w:fill="FFF2CC"/>
            <w:tcMar>
              <w:top w:w="100" w:type="dxa"/>
              <w:left w:w="100" w:type="dxa"/>
              <w:bottom w:w="100" w:type="dxa"/>
              <w:right w:w="100" w:type="dxa"/>
            </w:tcMar>
          </w:tcPr>
          <w:p w14:paraId="1052F9D1" w14:textId="77777777" w:rsidR="005C0ABE" w:rsidRDefault="005C0ABE" w:rsidP="005C0ABE">
            <w:pPr>
              <w:widowControl w:val="0"/>
              <w:rPr>
                <w:sz w:val="20"/>
                <w:szCs w:val="20"/>
              </w:rPr>
            </w:pPr>
            <w:r>
              <w:rPr>
                <w:b/>
                <w:sz w:val="20"/>
                <w:szCs w:val="20"/>
              </w:rPr>
              <w:t>2.2.</w:t>
            </w:r>
            <w:r>
              <w:rPr>
                <w:sz w:val="20"/>
                <w:szCs w:val="20"/>
              </w:rPr>
              <w:t xml:space="preserve"> 30 million more people, of which 50% are women, meeting minimum dietary energy requirements</w:t>
            </w:r>
          </w:p>
        </w:tc>
        <w:tc>
          <w:tcPr>
            <w:tcW w:w="6105" w:type="dxa"/>
            <w:tcMar>
              <w:top w:w="100" w:type="dxa"/>
              <w:left w:w="100" w:type="dxa"/>
              <w:bottom w:w="100" w:type="dxa"/>
              <w:right w:w="100" w:type="dxa"/>
            </w:tcMar>
          </w:tcPr>
          <w:p w14:paraId="5A468304" w14:textId="0D2CCEDC" w:rsidR="005C0ABE" w:rsidRDefault="005C0ABE" w:rsidP="005C0ABE">
            <w:pPr>
              <w:widowControl w:val="0"/>
              <w:rPr>
                <w:color w:val="000099"/>
                <w:sz w:val="20"/>
                <w:szCs w:val="20"/>
              </w:rPr>
            </w:pPr>
            <w:r w:rsidRPr="00CF7B74">
              <w:rPr>
                <w:sz w:val="20"/>
                <w:szCs w:val="20"/>
              </w:rPr>
              <w:t>No new evidence in 2019</w:t>
            </w:r>
          </w:p>
        </w:tc>
        <w:tc>
          <w:tcPr>
            <w:tcW w:w="2800" w:type="dxa"/>
          </w:tcPr>
          <w:p w14:paraId="5E1D2437" w14:textId="77777777" w:rsidR="005C0ABE" w:rsidRDefault="005C0ABE" w:rsidP="005C0ABE">
            <w:pPr>
              <w:widowControl w:val="0"/>
              <w:rPr>
                <w:color w:val="000099"/>
                <w:sz w:val="20"/>
                <w:szCs w:val="20"/>
              </w:rPr>
            </w:pPr>
          </w:p>
        </w:tc>
      </w:tr>
      <w:tr w:rsidR="005C0ABE" w14:paraId="35FDFE11" w14:textId="77777777" w:rsidTr="00E72DEF">
        <w:trPr>
          <w:cantSplit/>
          <w:trHeight w:val="644"/>
          <w:jc w:val="center"/>
        </w:trPr>
        <w:tc>
          <w:tcPr>
            <w:tcW w:w="5585" w:type="dxa"/>
            <w:shd w:val="clear" w:color="auto" w:fill="FFF2CC"/>
            <w:tcMar>
              <w:top w:w="100" w:type="dxa"/>
              <w:left w:w="100" w:type="dxa"/>
              <w:bottom w:w="100" w:type="dxa"/>
              <w:right w:w="100" w:type="dxa"/>
            </w:tcMar>
          </w:tcPr>
          <w:p w14:paraId="5B5B1EEE" w14:textId="77777777" w:rsidR="005C0ABE" w:rsidRDefault="005C0ABE" w:rsidP="005C0ABE">
            <w:pPr>
              <w:widowControl w:val="0"/>
              <w:rPr>
                <w:sz w:val="20"/>
                <w:szCs w:val="20"/>
              </w:rPr>
            </w:pPr>
            <w:r>
              <w:rPr>
                <w:b/>
                <w:sz w:val="20"/>
                <w:szCs w:val="20"/>
              </w:rPr>
              <w:t>2.3.</w:t>
            </w:r>
            <w:r>
              <w:rPr>
                <w:sz w:val="20"/>
                <w:szCs w:val="20"/>
              </w:rPr>
              <w:t xml:space="preserve"> 150 million more people, of which 50% are women, without deficiencies in one or more essential micronutrients</w:t>
            </w:r>
          </w:p>
        </w:tc>
        <w:tc>
          <w:tcPr>
            <w:tcW w:w="6105" w:type="dxa"/>
            <w:tcMar>
              <w:top w:w="100" w:type="dxa"/>
              <w:left w:w="100" w:type="dxa"/>
              <w:bottom w:w="100" w:type="dxa"/>
              <w:right w:w="100" w:type="dxa"/>
            </w:tcMar>
          </w:tcPr>
          <w:p w14:paraId="51BE6D39" w14:textId="0B0886F2" w:rsidR="005C0ABE" w:rsidRDefault="005C0ABE" w:rsidP="005C0ABE">
            <w:pPr>
              <w:widowControl w:val="0"/>
              <w:rPr>
                <w:color w:val="000099"/>
                <w:sz w:val="20"/>
                <w:szCs w:val="20"/>
              </w:rPr>
            </w:pPr>
            <w:r w:rsidRPr="00CF7B74">
              <w:rPr>
                <w:sz w:val="20"/>
                <w:szCs w:val="20"/>
              </w:rPr>
              <w:t>No new evidence in 2019</w:t>
            </w:r>
          </w:p>
        </w:tc>
        <w:tc>
          <w:tcPr>
            <w:tcW w:w="2800" w:type="dxa"/>
          </w:tcPr>
          <w:p w14:paraId="1170F89B" w14:textId="77777777" w:rsidR="005C0ABE" w:rsidRDefault="005C0ABE" w:rsidP="005C0ABE">
            <w:pPr>
              <w:widowControl w:val="0"/>
              <w:rPr>
                <w:color w:val="000099"/>
                <w:sz w:val="20"/>
                <w:szCs w:val="20"/>
              </w:rPr>
            </w:pPr>
          </w:p>
        </w:tc>
      </w:tr>
      <w:tr w:rsidR="005C0ABE" w14:paraId="33F9FF88" w14:textId="77777777" w:rsidTr="00E72DEF">
        <w:trPr>
          <w:cantSplit/>
          <w:trHeight w:val="447"/>
          <w:jc w:val="center"/>
        </w:trPr>
        <w:tc>
          <w:tcPr>
            <w:tcW w:w="5585" w:type="dxa"/>
            <w:shd w:val="clear" w:color="auto" w:fill="FFF2CC"/>
            <w:tcMar>
              <w:top w:w="100" w:type="dxa"/>
              <w:left w:w="100" w:type="dxa"/>
              <w:bottom w:w="100" w:type="dxa"/>
              <w:right w:w="100" w:type="dxa"/>
            </w:tcMar>
          </w:tcPr>
          <w:p w14:paraId="6C08AF02" w14:textId="77777777" w:rsidR="005C0ABE" w:rsidRDefault="005C0ABE" w:rsidP="005C0ABE">
            <w:pPr>
              <w:widowControl w:val="0"/>
              <w:rPr>
                <w:sz w:val="20"/>
                <w:szCs w:val="20"/>
              </w:rPr>
            </w:pPr>
            <w:r>
              <w:rPr>
                <w:b/>
                <w:sz w:val="20"/>
                <w:szCs w:val="20"/>
              </w:rPr>
              <w:t>3.1.</w:t>
            </w:r>
            <w:r>
              <w:rPr>
                <w:sz w:val="20"/>
                <w:szCs w:val="20"/>
              </w:rPr>
              <w:t xml:space="preserve"> 5% increase in water and nutrient efficiency in agroecosystems </w:t>
            </w:r>
          </w:p>
        </w:tc>
        <w:tc>
          <w:tcPr>
            <w:tcW w:w="6105" w:type="dxa"/>
            <w:tcMar>
              <w:top w:w="100" w:type="dxa"/>
              <w:left w:w="100" w:type="dxa"/>
              <w:bottom w:w="100" w:type="dxa"/>
              <w:right w:w="100" w:type="dxa"/>
            </w:tcMar>
          </w:tcPr>
          <w:p w14:paraId="242EE1F4" w14:textId="612DAE28" w:rsidR="005C0ABE" w:rsidRDefault="005C0ABE" w:rsidP="005C0ABE">
            <w:pPr>
              <w:widowControl w:val="0"/>
              <w:rPr>
                <w:color w:val="000099"/>
                <w:sz w:val="20"/>
                <w:szCs w:val="20"/>
              </w:rPr>
            </w:pPr>
            <w:r w:rsidRPr="00CF7B74">
              <w:rPr>
                <w:sz w:val="20"/>
                <w:szCs w:val="20"/>
              </w:rPr>
              <w:t>No new evidence in 2019</w:t>
            </w:r>
          </w:p>
        </w:tc>
        <w:tc>
          <w:tcPr>
            <w:tcW w:w="2800" w:type="dxa"/>
          </w:tcPr>
          <w:p w14:paraId="359F1BCB" w14:textId="77777777" w:rsidR="005C0ABE" w:rsidRDefault="005C0ABE" w:rsidP="005C0ABE">
            <w:pPr>
              <w:widowControl w:val="0"/>
              <w:rPr>
                <w:color w:val="000099"/>
                <w:sz w:val="20"/>
                <w:szCs w:val="20"/>
              </w:rPr>
            </w:pPr>
          </w:p>
        </w:tc>
      </w:tr>
      <w:tr w:rsidR="005C0ABE" w14:paraId="54FB1078" w14:textId="77777777" w:rsidTr="00E72DEF">
        <w:trPr>
          <w:cantSplit/>
          <w:trHeight w:val="393"/>
          <w:jc w:val="center"/>
        </w:trPr>
        <w:tc>
          <w:tcPr>
            <w:tcW w:w="5585" w:type="dxa"/>
            <w:shd w:val="clear" w:color="auto" w:fill="FFF2CC"/>
            <w:tcMar>
              <w:top w:w="100" w:type="dxa"/>
              <w:left w:w="100" w:type="dxa"/>
              <w:bottom w:w="100" w:type="dxa"/>
              <w:right w:w="100" w:type="dxa"/>
            </w:tcMar>
          </w:tcPr>
          <w:p w14:paraId="18CCD482" w14:textId="77777777" w:rsidR="005C0ABE" w:rsidRDefault="005C0ABE" w:rsidP="005C0ABE">
            <w:pPr>
              <w:widowControl w:val="0"/>
              <w:rPr>
                <w:sz w:val="20"/>
                <w:szCs w:val="20"/>
              </w:rPr>
            </w:pPr>
            <w:r>
              <w:rPr>
                <w:b/>
                <w:sz w:val="20"/>
                <w:szCs w:val="20"/>
              </w:rPr>
              <w:t>3.2.</w:t>
            </w:r>
            <w:r>
              <w:rPr>
                <w:sz w:val="20"/>
                <w:szCs w:val="20"/>
              </w:rPr>
              <w:t xml:space="preserve"> Reduction in ‘agriculturally’-related greenhouse gas emissions by 5% </w:t>
            </w:r>
          </w:p>
        </w:tc>
        <w:tc>
          <w:tcPr>
            <w:tcW w:w="6105" w:type="dxa"/>
            <w:tcMar>
              <w:top w:w="100" w:type="dxa"/>
              <w:left w:w="100" w:type="dxa"/>
              <w:bottom w:w="100" w:type="dxa"/>
              <w:right w:w="100" w:type="dxa"/>
            </w:tcMar>
          </w:tcPr>
          <w:p w14:paraId="05013960" w14:textId="307F0FDF" w:rsidR="005C0ABE" w:rsidRDefault="005C0ABE" w:rsidP="005C0ABE">
            <w:pPr>
              <w:widowControl w:val="0"/>
              <w:rPr>
                <w:color w:val="000099"/>
                <w:sz w:val="20"/>
                <w:szCs w:val="20"/>
              </w:rPr>
            </w:pPr>
            <w:r w:rsidRPr="00CF7B74">
              <w:rPr>
                <w:sz w:val="20"/>
                <w:szCs w:val="20"/>
              </w:rPr>
              <w:t>No new evidence in 2019</w:t>
            </w:r>
          </w:p>
        </w:tc>
        <w:tc>
          <w:tcPr>
            <w:tcW w:w="2800" w:type="dxa"/>
          </w:tcPr>
          <w:p w14:paraId="1B02C98E" w14:textId="77777777" w:rsidR="005C0ABE" w:rsidRDefault="005C0ABE" w:rsidP="005C0ABE">
            <w:pPr>
              <w:widowControl w:val="0"/>
              <w:rPr>
                <w:color w:val="000099"/>
                <w:sz w:val="20"/>
                <w:szCs w:val="20"/>
              </w:rPr>
            </w:pPr>
          </w:p>
        </w:tc>
      </w:tr>
      <w:tr w:rsidR="005C0ABE" w14:paraId="33DE0992" w14:textId="77777777" w:rsidTr="00E72DEF">
        <w:trPr>
          <w:cantSplit/>
          <w:trHeight w:val="306"/>
          <w:jc w:val="center"/>
        </w:trPr>
        <w:tc>
          <w:tcPr>
            <w:tcW w:w="5585" w:type="dxa"/>
            <w:shd w:val="clear" w:color="auto" w:fill="FFF2CC"/>
            <w:tcMar>
              <w:top w:w="100" w:type="dxa"/>
              <w:left w:w="100" w:type="dxa"/>
              <w:bottom w:w="100" w:type="dxa"/>
              <w:right w:w="100" w:type="dxa"/>
            </w:tcMar>
          </w:tcPr>
          <w:p w14:paraId="3EB3BB2A" w14:textId="77777777" w:rsidR="005C0ABE" w:rsidRDefault="005C0ABE" w:rsidP="005C0ABE">
            <w:pPr>
              <w:widowControl w:val="0"/>
              <w:rPr>
                <w:sz w:val="20"/>
                <w:szCs w:val="20"/>
              </w:rPr>
            </w:pPr>
            <w:r>
              <w:rPr>
                <w:b/>
                <w:sz w:val="20"/>
                <w:szCs w:val="20"/>
              </w:rPr>
              <w:t>3.3.</w:t>
            </w:r>
            <w:r>
              <w:rPr>
                <w:sz w:val="20"/>
                <w:szCs w:val="20"/>
              </w:rPr>
              <w:t xml:space="preserve"> 55 M ha degraded land area restored</w:t>
            </w:r>
          </w:p>
        </w:tc>
        <w:tc>
          <w:tcPr>
            <w:tcW w:w="6105" w:type="dxa"/>
            <w:tcMar>
              <w:top w:w="100" w:type="dxa"/>
              <w:left w:w="100" w:type="dxa"/>
              <w:bottom w:w="100" w:type="dxa"/>
              <w:right w:w="100" w:type="dxa"/>
            </w:tcMar>
          </w:tcPr>
          <w:p w14:paraId="101FFF7F" w14:textId="1590A19A" w:rsidR="005C0ABE" w:rsidRDefault="005C0ABE" w:rsidP="005C0ABE">
            <w:pPr>
              <w:widowControl w:val="0"/>
              <w:rPr>
                <w:color w:val="000099"/>
                <w:sz w:val="20"/>
                <w:szCs w:val="20"/>
              </w:rPr>
            </w:pPr>
            <w:r w:rsidRPr="00CF7B74">
              <w:rPr>
                <w:sz w:val="20"/>
                <w:szCs w:val="20"/>
              </w:rPr>
              <w:t>No new evidence in 2019</w:t>
            </w:r>
          </w:p>
        </w:tc>
        <w:tc>
          <w:tcPr>
            <w:tcW w:w="2800" w:type="dxa"/>
          </w:tcPr>
          <w:p w14:paraId="36995852" w14:textId="77777777" w:rsidR="005C0ABE" w:rsidRDefault="005C0ABE" w:rsidP="005C0ABE">
            <w:pPr>
              <w:widowControl w:val="0"/>
              <w:rPr>
                <w:color w:val="000099"/>
                <w:sz w:val="20"/>
                <w:szCs w:val="20"/>
              </w:rPr>
            </w:pPr>
          </w:p>
        </w:tc>
      </w:tr>
      <w:tr w:rsidR="005C0ABE" w14:paraId="74FBE449" w14:textId="77777777" w:rsidTr="00E72DEF">
        <w:trPr>
          <w:cantSplit/>
          <w:trHeight w:val="20"/>
          <w:jc w:val="center"/>
        </w:trPr>
        <w:tc>
          <w:tcPr>
            <w:tcW w:w="5585" w:type="dxa"/>
            <w:shd w:val="clear" w:color="auto" w:fill="FFF2CC"/>
            <w:tcMar>
              <w:top w:w="100" w:type="dxa"/>
              <w:left w:w="100" w:type="dxa"/>
              <w:bottom w:w="100" w:type="dxa"/>
              <w:right w:w="100" w:type="dxa"/>
            </w:tcMar>
          </w:tcPr>
          <w:p w14:paraId="68220053" w14:textId="77777777" w:rsidR="005C0ABE" w:rsidRDefault="005C0ABE" w:rsidP="005C0ABE">
            <w:pPr>
              <w:widowControl w:val="0"/>
              <w:rPr>
                <w:sz w:val="20"/>
                <w:szCs w:val="20"/>
              </w:rPr>
            </w:pPr>
            <w:r>
              <w:rPr>
                <w:b/>
                <w:sz w:val="20"/>
                <w:szCs w:val="20"/>
              </w:rPr>
              <w:t>3.4.</w:t>
            </w:r>
            <w:r>
              <w:rPr>
                <w:sz w:val="20"/>
                <w:szCs w:val="20"/>
              </w:rPr>
              <w:t xml:space="preserve"> 2.5 M ha forest saved from deforestation</w:t>
            </w:r>
          </w:p>
        </w:tc>
        <w:tc>
          <w:tcPr>
            <w:tcW w:w="6105" w:type="dxa"/>
            <w:tcMar>
              <w:top w:w="100" w:type="dxa"/>
              <w:left w:w="100" w:type="dxa"/>
              <w:bottom w:w="100" w:type="dxa"/>
              <w:right w:w="100" w:type="dxa"/>
            </w:tcMar>
          </w:tcPr>
          <w:p w14:paraId="7B736BA2" w14:textId="68943E46" w:rsidR="005C0ABE" w:rsidRDefault="005C0ABE" w:rsidP="005C0ABE">
            <w:pPr>
              <w:widowControl w:val="0"/>
              <w:rPr>
                <w:color w:val="000099"/>
                <w:sz w:val="20"/>
                <w:szCs w:val="20"/>
              </w:rPr>
            </w:pPr>
            <w:r w:rsidRPr="00CF7B74">
              <w:rPr>
                <w:sz w:val="20"/>
                <w:szCs w:val="20"/>
              </w:rPr>
              <w:t>No new evidence in 2019</w:t>
            </w:r>
          </w:p>
        </w:tc>
        <w:tc>
          <w:tcPr>
            <w:tcW w:w="2800" w:type="dxa"/>
          </w:tcPr>
          <w:p w14:paraId="15F50CE2" w14:textId="77777777" w:rsidR="005C0ABE" w:rsidRDefault="005C0ABE" w:rsidP="005C0ABE">
            <w:pPr>
              <w:widowControl w:val="0"/>
              <w:rPr>
                <w:color w:val="000099"/>
                <w:sz w:val="20"/>
                <w:szCs w:val="20"/>
              </w:rPr>
            </w:pPr>
          </w:p>
        </w:tc>
      </w:tr>
    </w:tbl>
    <w:p w14:paraId="69590FC8" w14:textId="77777777" w:rsidR="006E40C8" w:rsidRPr="00413F1B" w:rsidRDefault="006E40C8" w:rsidP="006E40C8">
      <w:pPr>
        <w:pStyle w:val="Heading1"/>
        <w:rPr>
          <w:color w:val="BFBFBF" w:themeColor="background1" w:themeShade="BF"/>
          <w:sz w:val="24"/>
        </w:rPr>
      </w:pPr>
      <w:bookmarkStart w:id="15" w:name="_2lwamvv" w:colFirst="0" w:colLast="0"/>
      <w:bookmarkStart w:id="16" w:name="_Toc531191908"/>
      <w:bookmarkStart w:id="17" w:name="_Ref531211952"/>
      <w:bookmarkStart w:id="18" w:name="_Ref531211956"/>
      <w:bookmarkStart w:id="19" w:name="_Toc531264774"/>
      <w:bookmarkStart w:id="20" w:name="_Hlk531117307"/>
      <w:bookmarkEnd w:id="15"/>
      <w:r w:rsidRPr="00413F1B">
        <w:rPr>
          <w:color w:val="BFBFBF" w:themeColor="background1" w:themeShade="BF"/>
          <w:sz w:val="24"/>
        </w:rPr>
        <w:lastRenderedPageBreak/>
        <w:t xml:space="preserve">Table </w:t>
      </w:r>
      <w:r>
        <w:rPr>
          <w:color w:val="BFBFBF" w:themeColor="background1" w:themeShade="BF"/>
          <w:sz w:val="24"/>
        </w:rPr>
        <w:t>3</w:t>
      </w:r>
      <w:r w:rsidRPr="00413F1B">
        <w:rPr>
          <w:color w:val="BFBFBF" w:themeColor="background1" w:themeShade="BF"/>
          <w:sz w:val="24"/>
        </w:rPr>
        <w:t>: Condensed list of policy contributions</w:t>
      </w:r>
      <w:bookmarkEnd w:id="16"/>
      <w:bookmarkEnd w:id="17"/>
      <w:bookmarkEnd w:id="18"/>
      <w:r w:rsidRPr="00413F1B">
        <w:rPr>
          <w:color w:val="BFBFBF" w:themeColor="background1" w:themeShade="BF"/>
          <w:sz w:val="24"/>
        </w:rPr>
        <w:t xml:space="preserve"> in this reporting year (Sphere of Influence)</w:t>
      </w:r>
      <w:bookmarkEnd w:id="19"/>
    </w:p>
    <w:p w14:paraId="18BF662B" w14:textId="77777777" w:rsidR="006E40C8" w:rsidRDefault="006E40C8" w:rsidP="006E40C8">
      <w:pPr>
        <w:ind w:right="101"/>
        <w:jc w:val="both"/>
        <w:rPr>
          <w:color w:val="9900FF"/>
        </w:rPr>
      </w:pPr>
      <w:r>
        <w:t>[</w:t>
      </w:r>
      <w:r w:rsidRPr="00CE2C70">
        <w:t xml:space="preserve">Please </w:t>
      </w:r>
      <w:r>
        <w:t xml:space="preserve">list policy contributions here.  (Please see the </w:t>
      </w:r>
      <w:hyperlink r:id="rId39">
        <w:r>
          <w:rPr>
            <w:color w:val="1155CC"/>
            <w:u w:val="single"/>
          </w:rPr>
          <w:t>indicator guidance</w:t>
        </w:r>
      </w:hyperlink>
      <w:r>
        <w:t xml:space="preserve">  for indicator #I1 number of policies which also includes an explanation of what is covered under the term ‘policy’.)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55"/>
        <w:gridCol w:w="3570"/>
        <w:gridCol w:w="1450"/>
        <w:gridCol w:w="1450"/>
        <w:gridCol w:w="838"/>
        <w:gridCol w:w="987"/>
        <w:gridCol w:w="1040"/>
        <w:gridCol w:w="1104"/>
        <w:gridCol w:w="1450"/>
      </w:tblGrid>
      <w:tr w:rsidR="00A3515A" w:rsidRPr="009F63C7" w14:paraId="6F43E314" w14:textId="77777777" w:rsidTr="00E362DD">
        <w:trPr>
          <w:trHeight w:val="420"/>
        </w:trPr>
        <w:tc>
          <w:tcPr>
            <w:tcW w:w="737" w:type="pct"/>
            <w:tcBorders>
              <w:top w:val="single" w:sz="6" w:space="0" w:color="000000"/>
              <w:left w:val="single" w:sz="6" w:space="0" w:color="000000"/>
              <w:bottom w:val="single" w:sz="12" w:space="0" w:color="000000"/>
              <w:right w:val="single" w:sz="6" w:space="0" w:color="000000"/>
            </w:tcBorders>
            <w:shd w:val="clear" w:color="auto" w:fill="D9E2F3"/>
          </w:tcPr>
          <w:p w14:paraId="5F101AF2" w14:textId="77777777" w:rsidR="00A3515A" w:rsidRPr="009F63C7" w:rsidRDefault="00A3515A" w:rsidP="0070227C">
            <w:pPr>
              <w:rPr>
                <w:rFonts w:asciiTheme="majorHAnsi" w:hAnsiTheme="majorHAnsi" w:cstheme="majorHAnsi"/>
                <w:b/>
                <w:sz w:val="20"/>
                <w:szCs w:val="20"/>
              </w:rPr>
            </w:pPr>
            <w:r w:rsidRPr="009F63C7">
              <w:rPr>
                <w:rFonts w:asciiTheme="majorHAnsi" w:hAnsiTheme="majorHAnsi" w:cstheme="majorHAnsi"/>
                <w:b/>
                <w:sz w:val="20"/>
                <w:szCs w:val="20"/>
              </w:rPr>
              <w:t>Column 1</w:t>
            </w:r>
          </w:p>
        </w:tc>
        <w:tc>
          <w:tcPr>
            <w:tcW w:w="1280" w:type="pct"/>
            <w:tcBorders>
              <w:top w:val="single" w:sz="6" w:space="0" w:color="000000"/>
              <w:left w:val="single" w:sz="6" w:space="0" w:color="000000"/>
              <w:bottom w:val="single" w:sz="12" w:space="0" w:color="000000"/>
              <w:right w:val="single" w:sz="6" w:space="0" w:color="000000"/>
            </w:tcBorders>
          </w:tcPr>
          <w:p w14:paraId="07E68D82" w14:textId="77777777" w:rsidR="00A3515A" w:rsidRPr="009F63C7" w:rsidRDefault="00A3515A" w:rsidP="0070227C">
            <w:pPr>
              <w:rPr>
                <w:rFonts w:asciiTheme="majorHAnsi" w:hAnsiTheme="majorHAnsi" w:cstheme="majorHAnsi"/>
                <w:sz w:val="20"/>
                <w:szCs w:val="20"/>
              </w:rPr>
            </w:pPr>
            <w:r>
              <w:rPr>
                <w:rFonts w:asciiTheme="majorHAnsi" w:hAnsiTheme="majorHAnsi" w:cstheme="majorHAnsi"/>
                <w:sz w:val="20"/>
                <w:szCs w:val="20"/>
              </w:rPr>
              <w:t>Column 2A</w:t>
            </w:r>
          </w:p>
        </w:tc>
        <w:tc>
          <w:tcPr>
            <w:tcW w:w="520" w:type="pct"/>
            <w:tcBorders>
              <w:top w:val="single" w:sz="6" w:space="0" w:color="000000"/>
              <w:left w:val="single" w:sz="6" w:space="0" w:color="000000"/>
              <w:bottom w:val="single" w:sz="12" w:space="0" w:color="000000"/>
              <w:right w:val="single" w:sz="6" w:space="0" w:color="000000"/>
            </w:tcBorders>
          </w:tcPr>
          <w:p w14:paraId="32CF74AB" w14:textId="77777777" w:rsidR="00A3515A" w:rsidRPr="009F63C7" w:rsidRDefault="00A3515A" w:rsidP="0070227C">
            <w:pPr>
              <w:rPr>
                <w:rFonts w:asciiTheme="majorHAnsi" w:hAnsiTheme="majorHAnsi" w:cstheme="majorHAnsi"/>
                <w:sz w:val="20"/>
                <w:szCs w:val="20"/>
              </w:rPr>
            </w:pPr>
            <w:r w:rsidRPr="009F63C7">
              <w:rPr>
                <w:rFonts w:asciiTheme="majorHAnsi" w:hAnsiTheme="majorHAnsi" w:cstheme="majorHAnsi"/>
                <w:sz w:val="20"/>
                <w:szCs w:val="20"/>
              </w:rPr>
              <w:t>Column 2</w:t>
            </w:r>
          </w:p>
        </w:tc>
        <w:tc>
          <w:tcPr>
            <w:tcW w:w="520" w:type="pct"/>
            <w:tcBorders>
              <w:top w:val="single" w:sz="6" w:space="0" w:color="000000"/>
              <w:left w:val="single" w:sz="6" w:space="0" w:color="000000"/>
              <w:bottom w:val="single" w:sz="12" w:space="0" w:color="000000"/>
              <w:right w:val="single" w:sz="6" w:space="0" w:color="000000"/>
            </w:tcBorders>
          </w:tcPr>
          <w:p w14:paraId="5BBB7FB0" w14:textId="77777777" w:rsidR="00A3515A" w:rsidRPr="009F63C7" w:rsidRDefault="00A3515A" w:rsidP="0070227C">
            <w:pPr>
              <w:rPr>
                <w:rFonts w:asciiTheme="majorHAnsi" w:hAnsiTheme="majorHAnsi" w:cstheme="majorHAnsi"/>
                <w:sz w:val="20"/>
                <w:szCs w:val="20"/>
              </w:rPr>
            </w:pPr>
            <w:r w:rsidRPr="009F63C7">
              <w:rPr>
                <w:rFonts w:asciiTheme="majorHAnsi" w:hAnsiTheme="majorHAnsi" w:cstheme="majorHAnsi"/>
                <w:sz w:val="20"/>
                <w:szCs w:val="20"/>
              </w:rPr>
              <w:t>Column 3</w:t>
            </w:r>
          </w:p>
        </w:tc>
        <w:tc>
          <w:tcPr>
            <w:tcW w:w="300" w:type="pct"/>
            <w:tcBorders>
              <w:top w:val="single" w:sz="6" w:space="0" w:color="000000"/>
              <w:left w:val="single" w:sz="6" w:space="0" w:color="000000"/>
              <w:bottom w:val="single" w:sz="12" w:space="0" w:color="000000"/>
              <w:right w:val="single" w:sz="6" w:space="0" w:color="000000"/>
            </w:tcBorders>
          </w:tcPr>
          <w:p w14:paraId="431E6C49" w14:textId="77777777" w:rsidR="00A3515A" w:rsidRPr="009F63C7" w:rsidRDefault="00A3515A" w:rsidP="0070227C">
            <w:pPr>
              <w:rPr>
                <w:rFonts w:asciiTheme="majorHAnsi" w:hAnsiTheme="majorHAnsi" w:cstheme="majorHAnsi"/>
                <w:sz w:val="20"/>
                <w:szCs w:val="20"/>
              </w:rPr>
            </w:pPr>
            <w:r w:rsidRPr="009F63C7">
              <w:rPr>
                <w:rFonts w:asciiTheme="majorHAnsi" w:hAnsiTheme="majorHAnsi" w:cstheme="majorHAnsi"/>
                <w:sz w:val="20"/>
                <w:szCs w:val="20"/>
              </w:rPr>
              <w:t>Column 4a</w:t>
            </w:r>
          </w:p>
        </w:tc>
        <w:tc>
          <w:tcPr>
            <w:tcW w:w="354" w:type="pct"/>
            <w:tcBorders>
              <w:top w:val="single" w:sz="6" w:space="0" w:color="000000"/>
              <w:left w:val="single" w:sz="6" w:space="0" w:color="000000"/>
              <w:bottom w:val="single" w:sz="12" w:space="0" w:color="000000"/>
              <w:right w:val="single" w:sz="6" w:space="0" w:color="000000"/>
            </w:tcBorders>
          </w:tcPr>
          <w:p w14:paraId="012D1533" w14:textId="77777777" w:rsidR="00A3515A" w:rsidRPr="009F63C7" w:rsidRDefault="00A3515A" w:rsidP="0070227C">
            <w:pPr>
              <w:rPr>
                <w:rFonts w:asciiTheme="majorHAnsi" w:hAnsiTheme="majorHAnsi" w:cstheme="majorHAnsi"/>
                <w:sz w:val="20"/>
                <w:szCs w:val="20"/>
              </w:rPr>
            </w:pPr>
            <w:r w:rsidRPr="009F63C7">
              <w:rPr>
                <w:rFonts w:asciiTheme="majorHAnsi" w:hAnsiTheme="majorHAnsi" w:cstheme="majorHAnsi"/>
                <w:sz w:val="20"/>
                <w:szCs w:val="20"/>
              </w:rPr>
              <w:t>Column 4b</w:t>
            </w:r>
          </w:p>
        </w:tc>
        <w:tc>
          <w:tcPr>
            <w:tcW w:w="373" w:type="pct"/>
            <w:tcBorders>
              <w:top w:val="single" w:sz="6" w:space="0" w:color="000000"/>
              <w:left w:val="single" w:sz="6" w:space="0" w:color="000000"/>
              <w:bottom w:val="single" w:sz="12" w:space="0" w:color="000000"/>
              <w:right w:val="single" w:sz="6" w:space="0" w:color="000000"/>
            </w:tcBorders>
          </w:tcPr>
          <w:p w14:paraId="3992EF7D" w14:textId="77777777" w:rsidR="00A3515A" w:rsidRPr="009F63C7" w:rsidRDefault="00A3515A" w:rsidP="0070227C">
            <w:pPr>
              <w:rPr>
                <w:rFonts w:asciiTheme="majorHAnsi" w:hAnsiTheme="majorHAnsi" w:cstheme="majorHAnsi"/>
                <w:sz w:val="20"/>
                <w:szCs w:val="20"/>
              </w:rPr>
            </w:pPr>
            <w:r w:rsidRPr="009F63C7">
              <w:rPr>
                <w:rFonts w:asciiTheme="majorHAnsi" w:hAnsiTheme="majorHAnsi" w:cstheme="majorHAnsi"/>
                <w:sz w:val="20"/>
                <w:szCs w:val="20"/>
              </w:rPr>
              <w:t>Column 4c</w:t>
            </w:r>
          </w:p>
        </w:tc>
        <w:tc>
          <w:tcPr>
            <w:tcW w:w="396" w:type="pct"/>
            <w:tcBorders>
              <w:top w:val="single" w:sz="6" w:space="0" w:color="000000"/>
              <w:left w:val="single" w:sz="6" w:space="0" w:color="000000"/>
              <w:bottom w:val="single" w:sz="12" w:space="0" w:color="000000"/>
              <w:right w:val="single" w:sz="6" w:space="0" w:color="000000"/>
            </w:tcBorders>
          </w:tcPr>
          <w:p w14:paraId="54FA5D76" w14:textId="77777777" w:rsidR="00A3515A" w:rsidRPr="009F63C7" w:rsidRDefault="00A3515A" w:rsidP="0070227C">
            <w:pPr>
              <w:rPr>
                <w:rFonts w:asciiTheme="majorHAnsi" w:hAnsiTheme="majorHAnsi" w:cstheme="majorHAnsi"/>
                <w:sz w:val="20"/>
                <w:szCs w:val="20"/>
              </w:rPr>
            </w:pPr>
            <w:r w:rsidRPr="009F63C7">
              <w:rPr>
                <w:rFonts w:asciiTheme="majorHAnsi" w:hAnsiTheme="majorHAnsi" w:cstheme="majorHAnsi"/>
                <w:sz w:val="20"/>
                <w:szCs w:val="20"/>
              </w:rPr>
              <w:t>Column 4d</w:t>
            </w:r>
          </w:p>
        </w:tc>
        <w:tc>
          <w:tcPr>
            <w:tcW w:w="521" w:type="pct"/>
            <w:tcBorders>
              <w:top w:val="single" w:sz="6" w:space="0" w:color="000000"/>
              <w:left w:val="single" w:sz="6" w:space="0" w:color="000000"/>
              <w:right w:val="single" w:sz="6" w:space="0" w:color="000000"/>
            </w:tcBorders>
          </w:tcPr>
          <w:p w14:paraId="23E04F03" w14:textId="77777777" w:rsidR="00A3515A" w:rsidRPr="009F63C7" w:rsidRDefault="00A3515A" w:rsidP="0070227C">
            <w:pPr>
              <w:rPr>
                <w:rFonts w:asciiTheme="majorHAnsi" w:hAnsiTheme="majorHAnsi" w:cstheme="majorHAnsi"/>
                <w:sz w:val="20"/>
                <w:szCs w:val="20"/>
              </w:rPr>
            </w:pPr>
            <w:r w:rsidRPr="009F63C7">
              <w:rPr>
                <w:rFonts w:asciiTheme="majorHAnsi" w:hAnsiTheme="majorHAnsi" w:cstheme="majorHAnsi"/>
                <w:sz w:val="20"/>
                <w:szCs w:val="20"/>
              </w:rPr>
              <w:t>Column 4e</w:t>
            </w:r>
          </w:p>
        </w:tc>
      </w:tr>
      <w:tr w:rsidR="00A3515A" w:rsidRPr="009F63C7" w14:paraId="46ED17D5" w14:textId="77777777" w:rsidTr="00E362DD">
        <w:trPr>
          <w:trHeight w:val="1454"/>
        </w:trPr>
        <w:tc>
          <w:tcPr>
            <w:tcW w:w="737" w:type="pct"/>
            <w:vMerge w:val="restart"/>
            <w:tcBorders>
              <w:top w:val="single" w:sz="6" w:space="0" w:color="000000"/>
              <w:left w:val="single" w:sz="6" w:space="0" w:color="000000"/>
              <w:right w:val="single" w:sz="6" w:space="0" w:color="000000"/>
            </w:tcBorders>
            <w:shd w:val="clear" w:color="auto" w:fill="D9E2F3"/>
          </w:tcPr>
          <w:p w14:paraId="1A6B70ED" w14:textId="77777777" w:rsidR="00A3515A" w:rsidRPr="009F63C7" w:rsidRDefault="00A3515A" w:rsidP="0070227C">
            <w:pPr>
              <w:rPr>
                <w:rFonts w:asciiTheme="majorHAnsi" w:hAnsiTheme="majorHAnsi" w:cstheme="majorHAnsi"/>
                <w:sz w:val="20"/>
                <w:szCs w:val="20"/>
              </w:rPr>
            </w:pPr>
            <w:r>
              <w:rPr>
                <w:rFonts w:asciiTheme="majorHAnsi" w:hAnsiTheme="majorHAnsi" w:cstheme="majorHAnsi"/>
                <w:sz w:val="20"/>
                <w:szCs w:val="20"/>
              </w:rPr>
              <w:t>Title</w:t>
            </w:r>
            <w:r w:rsidRPr="009F63C7">
              <w:rPr>
                <w:rFonts w:asciiTheme="majorHAnsi" w:hAnsiTheme="majorHAnsi" w:cstheme="majorHAnsi"/>
                <w:sz w:val="20"/>
                <w:szCs w:val="20"/>
              </w:rPr>
              <w:t xml:space="preserve"> of policy, legal instrument, investment or curriculum to which CGIAR contributed (</w:t>
            </w:r>
            <w:r w:rsidRPr="00B17264">
              <w:rPr>
                <w:rFonts w:asciiTheme="majorHAnsi" w:hAnsiTheme="majorHAnsi" w:cstheme="majorHAnsi"/>
                <w:sz w:val="20"/>
                <w:szCs w:val="20"/>
                <w:highlight w:val="green"/>
              </w:rPr>
              <w:t>max 30 words</w:t>
            </w:r>
            <w:r>
              <w:rPr>
                <w:rFonts w:asciiTheme="majorHAnsi" w:hAnsiTheme="majorHAnsi" w:cstheme="majorHAnsi"/>
                <w:sz w:val="20"/>
                <w:szCs w:val="20"/>
              </w:rPr>
              <w:t>)</w:t>
            </w:r>
          </w:p>
          <w:p w14:paraId="26D7F4EA" w14:textId="77777777" w:rsidR="00A3515A" w:rsidRPr="009F63C7" w:rsidRDefault="00A3515A" w:rsidP="0070227C">
            <w:pPr>
              <w:rPr>
                <w:rFonts w:asciiTheme="majorHAnsi" w:hAnsiTheme="majorHAnsi" w:cstheme="majorHAnsi"/>
                <w:sz w:val="20"/>
                <w:szCs w:val="20"/>
              </w:rPr>
            </w:pPr>
          </w:p>
          <w:p w14:paraId="45DB6D0E" w14:textId="77777777" w:rsidR="00A3515A" w:rsidRPr="009F63C7" w:rsidRDefault="00A3515A" w:rsidP="0070227C">
            <w:pPr>
              <w:rPr>
                <w:rFonts w:asciiTheme="majorHAnsi" w:hAnsiTheme="majorHAnsi" w:cstheme="majorHAnsi"/>
                <w:i/>
                <w:sz w:val="20"/>
                <w:szCs w:val="20"/>
              </w:rPr>
            </w:pPr>
            <w:r w:rsidRPr="009F63C7">
              <w:rPr>
                <w:rFonts w:asciiTheme="majorHAnsi" w:hAnsiTheme="majorHAnsi" w:cstheme="majorHAnsi"/>
                <w:i/>
                <w:sz w:val="20"/>
                <w:szCs w:val="20"/>
              </w:rPr>
              <w:t>Spell out acronyms in every row</w:t>
            </w:r>
          </w:p>
        </w:tc>
        <w:tc>
          <w:tcPr>
            <w:tcW w:w="1280" w:type="pct"/>
            <w:vMerge w:val="restart"/>
            <w:tcBorders>
              <w:top w:val="single" w:sz="6" w:space="0" w:color="000000"/>
              <w:left w:val="single" w:sz="6" w:space="0" w:color="000000"/>
              <w:right w:val="single" w:sz="6" w:space="0" w:color="000000"/>
            </w:tcBorders>
          </w:tcPr>
          <w:p w14:paraId="0DF386D5" w14:textId="77777777" w:rsidR="00A3515A" w:rsidRPr="009F63C7" w:rsidRDefault="00A3515A" w:rsidP="0070227C">
            <w:pPr>
              <w:rPr>
                <w:rFonts w:asciiTheme="majorHAnsi" w:hAnsiTheme="majorHAnsi" w:cstheme="majorHAnsi"/>
                <w:sz w:val="20"/>
                <w:szCs w:val="20"/>
              </w:rPr>
            </w:pPr>
            <w:r>
              <w:rPr>
                <w:rFonts w:asciiTheme="majorHAnsi" w:hAnsiTheme="majorHAnsi" w:cstheme="majorHAnsi"/>
                <w:sz w:val="20"/>
                <w:szCs w:val="20"/>
              </w:rPr>
              <w:t xml:space="preserve">Description </w:t>
            </w:r>
            <w:r w:rsidRPr="009F63C7">
              <w:rPr>
                <w:rFonts w:asciiTheme="majorHAnsi" w:hAnsiTheme="majorHAnsi" w:cstheme="majorHAnsi"/>
                <w:sz w:val="20"/>
                <w:szCs w:val="20"/>
              </w:rPr>
              <w:t xml:space="preserve">of policy, legal instrument, investment or curriculum to which CGIAR contributed </w:t>
            </w:r>
            <w:r w:rsidRPr="003761DA">
              <w:rPr>
                <w:rFonts w:asciiTheme="majorHAnsi" w:hAnsiTheme="majorHAnsi" w:cstheme="majorHAnsi"/>
                <w:sz w:val="20"/>
                <w:szCs w:val="20"/>
                <w:highlight w:val="yellow"/>
              </w:rPr>
              <w:t>(</w:t>
            </w:r>
            <w:r w:rsidRPr="00B17264">
              <w:rPr>
                <w:rFonts w:asciiTheme="majorHAnsi" w:hAnsiTheme="majorHAnsi" w:cstheme="majorHAnsi"/>
                <w:sz w:val="20"/>
                <w:szCs w:val="20"/>
                <w:highlight w:val="green"/>
              </w:rPr>
              <w:t>30 words</w:t>
            </w:r>
            <w:r w:rsidRPr="009F63C7">
              <w:rPr>
                <w:rFonts w:asciiTheme="majorHAnsi" w:hAnsiTheme="majorHAnsi" w:cstheme="majorHAnsi"/>
                <w:sz w:val="20"/>
                <w:szCs w:val="20"/>
              </w:rPr>
              <w:t>)</w:t>
            </w:r>
            <w:r>
              <w:rPr>
                <w:rFonts w:asciiTheme="majorHAnsi" w:hAnsiTheme="majorHAnsi" w:cstheme="majorHAnsi"/>
                <w:sz w:val="20"/>
                <w:szCs w:val="20"/>
              </w:rPr>
              <w:t xml:space="preserve">.  See guidance for what to cover. </w:t>
            </w:r>
          </w:p>
          <w:p w14:paraId="52885D90" w14:textId="77777777" w:rsidR="00A3515A" w:rsidRPr="009F63C7" w:rsidRDefault="00A3515A" w:rsidP="0070227C">
            <w:pPr>
              <w:rPr>
                <w:rFonts w:asciiTheme="majorHAnsi" w:hAnsiTheme="majorHAnsi" w:cstheme="majorHAnsi"/>
                <w:sz w:val="20"/>
                <w:szCs w:val="20"/>
              </w:rPr>
            </w:pPr>
          </w:p>
        </w:tc>
        <w:tc>
          <w:tcPr>
            <w:tcW w:w="520" w:type="pct"/>
            <w:vMerge w:val="restart"/>
            <w:tcBorders>
              <w:top w:val="single" w:sz="6" w:space="0" w:color="000000"/>
              <w:left w:val="single" w:sz="6" w:space="0" w:color="000000"/>
              <w:right w:val="single" w:sz="6" w:space="0" w:color="000000"/>
            </w:tcBorders>
          </w:tcPr>
          <w:p w14:paraId="547A4264" w14:textId="77777777" w:rsidR="00A3515A" w:rsidRPr="009F63C7" w:rsidRDefault="00A3515A" w:rsidP="0070227C">
            <w:pPr>
              <w:rPr>
                <w:rFonts w:asciiTheme="majorHAnsi" w:hAnsiTheme="majorHAnsi" w:cstheme="majorHAnsi"/>
                <w:sz w:val="20"/>
                <w:szCs w:val="20"/>
              </w:rPr>
            </w:pPr>
            <w:r w:rsidRPr="009F63C7">
              <w:rPr>
                <w:rFonts w:asciiTheme="majorHAnsi" w:hAnsiTheme="majorHAnsi" w:cstheme="majorHAnsi"/>
                <w:sz w:val="20"/>
                <w:szCs w:val="20"/>
              </w:rPr>
              <w:t>Level of Maturity</w:t>
            </w:r>
          </w:p>
        </w:tc>
        <w:tc>
          <w:tcPr>
            <w:tcW w:w="520" w:type="pct"/>
            <w:vMerge w:val="restart"/>
            <w:tcBorders>
              <w:top w:val="single" w:sz="6" w:space="0" w:color="000000"/>
              <w:left w:val="single" w:sz="6" w:space="0" w:color="000000"/>
              <w:right w:val="single" w:sz="6" w:space="0" w:color="000000"/>
            </w:tcBorders>
          </w:tcPr>
          <w:p w14:paraId="7151D170" w14:textId="77777777" w:rsidR="00A3515A" w:rsidRPr="009F63C7" w:rsidRDefault="00A3515A" w:rsidP="0070227C">
            <w:pPr>
              <w:rPr>
                <w:rFonts w:asciiTheme="majorHAnsi" w:hAnsiTheme="majorHAnsi" w:cstheme="majorHAnsi"/>
                <w:sz w:val="20"/>
                <w:szCs w:val="20"/>
              </w:rPr>
            </w:pPr>
            <w:r w:rsidRPr="009F63C7">
              <w:rPr>
                <w:rFonts w:asciiTheme="majorHAnsi" w:hAnsiTheme="majorHAnsi" w:cstheme="majorHAnsi"/>
                <w:sz w:val="20"/>
                <w:szCs w:val="20"/>
              </w:rPr>
              <w:t>Link to sub-IDOs (max. 2)</w:t>
            </w:r>
          </w:p>
        </w:tc>
        <w:tc>
          <w:tcPr>
            <w:tcW w:w="1423" w:type="pct"/>
            <w:gridSpan w:val="4"/>
            <w:tcBorders>
              <w:top w:val="single" w:sz="6" w:space="0" w:color="000000"/>
              <w:left w:val="single" w:sz="6" w:space="0" w:color="000000"/>
              <w:bottom w:val="single" w:sz="12" w:space="0" w:color="000000"/>
              <w:right w:val="single" w:sz="6" w:space="0" w:color="000000"/>
            </w:tcBorders>
          </w:tcPr>
          <w:p w14:paraId="6ADCB118" w14:textId="77777777" w:rsidR="00A3515A" w:rsidRPr="009F63C7" w:rsidRDefault="00A3515A" w:rsidP="0070227C">
            <w:pPr>
              <w:jc w:val="center"/>
              <w:rPr>
                <w:rFonts w:asciiTheme="majorHAnsi" w:hAnsiTheme="majorHAnsi" w:cstheme="majorHAnsi"/>
                <w:sz w:val="20"/>
                <w:szCs w:val="20"/>
                <w:highlight w:val="white"/>
              </w:rPr>
            </w:pPr>
            <w:r w:rsidRPr="009F63C7">
              <w:rPr>
                <w:rFonts w:asciiTheme="majorHAnsi" w:hAnsiTheme="majorHAnsi" w:cstheme="majorHAnsi"/>
                <w:sz w:val="20"/>
                <w:szCs w:val="20"/>
              </w:rPr>
              <w:t>CGIAR cross-cutting marker score</w:t>
            </w:r>
          </w:p>
        </w:tc>
        <w:tc>
          <w:tcPr>
            <w:tcW w:w="521" w:type="pct"/>
            <w:tcBorders>
              <w:left w:val="single" w:sz="6" w:space="0" w:color="000000"/>
              <w:bottom w:val="single" w:sz="12" w:space="0" w:color="000000"/>
              <w:right w:val="single" w:sz="6" w:space="0" w:color="000000"/>
            </w:tcBorders>
          </w:tcPr>
          <w:p w14:paraId="2F82C5DA" w14:textId="240BCA74" w:rsidR="00A3515A" w:rsidRPr="009F63C7" w:rsidRDefault="00A3515A" w:rsidP="0070227C">
            <w:pPr>
              <w:jc w:val="center"/>
              <w:rPr>
                <w:rFonts w:asciiTheme="majorHAnsi" w:hAnsiTheme="majorHAnsi" w:cstheme="majorHAnsi"/>
                <w:sz w:val="20"/>
                <w:szCs w:val="20"/>
              </w:rPr>
            </w:pPr>
            <w:r w:rsidRPr="009F63C7">
              <w:rPr>
                <w:rFonts w:asciiTheme="majorHAnsi" w:hAnsiTheme="majorHAnsi" w:cstheme="majorHAnsi"/>
                <w:sz w:val="20"/>
                <w:szCs w:val="20"/>
              </w:rPr>
              <w:t>Link to OICR (obligatory if Level of Maturity is 2 or 3) or link to evidence (e.g. PDF generated from MIS)</w:t>
            </w:r>
          </w:p>
        </w:tc>
      </w:tr>
      <w:tr w:rsidR="00A3515A" w:rsidRPr="009F63C7" w14:paraId="30F437AD" w14:textId="77777777" w:rsidTr="00E362DD">
        <w:trPr>
          <w:trHeight w:val="598"/>
        </w:trPr>
        <w:tc>
          <w:tcPr>
            <w:tcW w:w="737" w:type="pct"/>
            <w:vMerge/>
            <w:tcBorders>
              <w:left w:val="single" w:sz="6" w:space="0" w:color="000000"/>
              <w:bottom w:val="single" w:sz="6" w:space="0" w:color="000000"/>
              <w:right w:val="single" w:sz="6" w:space="0" w:color="000000"/>
            </w:tcBorders>
            <w:shd w:val="clear" w:color="auto" w:fill="D9E2F3"/>
          </w:tcPr>
          <w:p w14:paraId="10B825D7" w14:textId="77777777" w:rsidR="00A3515A" w:rsidRPr="009F63C7" w:rsidRDefault="00A3515A" w:rsidP="0070227C">
            <w:pPr>
              <w:rPr>
                <w:rFonts w:asciiTheme="majorHAnsi" w:hAnsiTheme="majorHAnsi" w:cstheme="majorHAnsi"/>
                <w:sz w:val="20"/>
                <w:szCs w:val="20"/>
              </w:rPr>
            </w:pPr>
          </w:p>
        </w:tc>
        <w:tc>
          <w:tcPr>
            <w:tcW w:w="1280" w:type="pct"/>
            <w:vMerge/>
            <w:tcBorders>
              <w:left w:val="single" w:sz="6" w:space="0" w:color="000000"/>
              <w:bottom w:val="single" w:sz="6" w:space="0" w:color="000000"/>
              <w:right w:val="single" w:sz="6" w:space="0" w:color="000000"/>
            </w:tcBorders>
          </w:tcPr>
          <w:p w14:paraId="03906C52" w14:textId="77777777" w:rsidR="00A3515A" w:rsidRPr="009F63C7" w:rsidRDefault="00A3515A" w:rsidP="0070227C">
            <w:pPr>
              <w:rPr>
                <w:rFonts w:asciiTheme="majorHAnsi" w:hAnsiTheme="majorHAnsi" w:cstheme="majorHAnsi"/>
                <w:sz w:val="20"/>
                <w:szCs w:val="20"/>
              </w:rPr>
            </w:pPr>
          </w:p>
        </w:tc>
        <w:tc>
          <w:tcPr>
            <w:tcW w:w="520" w:type="pct"/>
            <w:vMerge/>
            <w:tcBorders>
              <w:left w:val="single" w:sz="6" w:space="0" w:color="000000"/>
              <w:bottom w:val="single" w:sz="6" w:space="0" w:color="000000"/>
              <w:right w:val="single" w:sz="6" w:space="0" w:color="000000"/>
            </w:tcBorders>
          </w:tcPr>
          <w:p w14:paraId="569836A4" w14:textId="77777777" w:rsidR="00A3515A" w:rsidRPr="009F63C7" w:rsidRDefault="00A3515A" w:rsidP="0070227C">
            <w:pPr>
              <w:rPr>
                <w:rFonts w:asciiTheme="majorHAnsi" w:hAnsiTheme="majorHAnsi" w:cstheme="majorHAnsi"/>
                <w:sz w:val="20"/>
                <w:szCs w:val="20"/>
              </w:rPr>
            </w:pPr>
          </w:p>
        </w:tc>
        <w:tc>
          <w:tcPr>
            <w:tcW w:w="520" w:type="pct"/>
            <w:vMerge/>
            <w:tcBorders>
              <w:left w:val="single" w:sz="6" w:space="0" w:color="000000"/>
              <w:bottom w:val="single" w:sz="6" w:space="0" w:color="000000"/>
              <w:right w:val="single" w:sz="6" w:space="0" w:color="000000"/>
            </w:tcBorders>
          </w:tcPr>
          <w:p w14:paraId="28751BE7" w14:textId="77777777" w:rsidR="00A3515A" w:rsidRPr="009F63C7" w:rsidRDefault="00A3515A" w:rsidP="0070227C">
            <w:pPr>
              <w:rPr>
                <w:rFonts w:asciiTheme="majorHAnsi" w:hAnsiTheme="majorHAnsi" w:cstheme="majorHAnsi"/>
                <w:sz w:val="20"/>
                <w:szCs w:val="20"/>
              </w:rPr>
            </w:pPr>
          </w:p>
        </w:tc>
        <w:tc>
          <w:tcPr>
            <w:tcW w:w="300" w:type="pct"/>
            <w:tcBorders>
              <w:top w:val="single" w:sz="6" w:space="0" w:color="000000"/>
              <w:left w:val="single" w:sz="6" w:space="0" w:color="000000"/>
              <w:bottom w:val="single" w:sz="6" w:space="0" w:color="000000"/>
              <w:right w:val="single" w:sz="6" w:space="0" w:color="000000"/>
            </w:tcBorders>
          </w:tcPr>
          <w:p w14:paraId="2FBC3D18" w14:textId="77777777" w:rsidR="00A3515A" w:rsidRPr="009F63C7" w:rsidRDefault="00A3515A" w:rsidP="0070227C">
            <w:pPr>
              <w:rPr>
                <w:rFonts w:asciiTheme="majorHAnsi" w:hAnsiTheme="majorHAnsi" w:cstheme="majorHAnsi"/>
                <w:sz w:val="20"/>
                <w:szCs w:val="20"/>
              </w:rPr>
            </w:pPr>
            <w:r w:rsidRPr="009F63C7">
              <w:rPr>
                <w:rFonts w:asciiTheme="majorHAnsi" w:hAnsiTheme="majorHAnsi" w:cstheme="majorHAnsi"/>
                <w:sz w:val="20"/>
                <w:szCs w:val="20"/>
                <w:highlight w:val="white"/>
              </w:rPr>
              <w:t>gender</w:t>
            </w:r>
          </w:p>
        </w:tc>
        <w:tc>
          <w:tcPr>
            <w:tcW w:w="354" w:type="pct"/>
            <w:tcBorders>
              <w:top w:val="single" w:sz="6" w:space="0" w:color="000000"/>
              <w:left w:val="single" w:sz="6" w:space="0" w:color="000000"/>
              <w:bottom w:val="single" w:sz="6" w:space="0" w:color="000000"/>
              <w:right w:val="single" w:sz="6" w:space="0" w:color="000000"/>
            </w:tcBorders>
          </w:tcPr>
          <w:p w14:paraId="638082D4" w14:textId="77777777" w:rsidR="00A3515A" w:rsidRPr="009F63C7" w:rsidRDefault="00A3515A" w:rsidP="0070227C">
            <w:pPr>
              <w:rPr>
                <w:rFonts w:asciiTheme="majorHAnsi" w:hAnsiTheme="majorHAnsi" w:cstheme="majorHAnsi"/>
                <w:sz w:val="20"/>
                <w:szCs w:val="20"/>
              </w:rPr>
            </w:pPr>
            <w:r w:rsidRPr="009F63C7">
              <w:rPr>
                <w:rFonts w:asciiTheme="majorHAnsi" w:hAnsiTheme="majorHAnsi" w:cstheme="majorHAnsi"/>
                <w:sz w:val="20"/>
                <w:szCs w:val="20"/>
                <w:highlight w:val="white"/>
              </w:rPr>
              <w:t>youth</w:t>
            </w:r>
          </w:p>
        </w:tc>
        <w:tc>
          <w:tcPr>
            <w:tcW w:w="373" w:type="pct"/>
            <w:tcBorders>
              <w:top w:val="single" w:sz="6" w:space="0" w:color="000000"/>
              <w:left w:val="single" w:sz="6" w:space="0" w:color="000000"/>
              <w:bottom w:val="single" w:sz="6" w:space="0" w:color="000000"/>
              <w:right w:val="single" w:sz="6" w:space="0" w:color="000000"/>
            </w:tcBorders>
          </w:tcPr>
          <w:p w14:paraId="5427F94C" w14:textId="77777777" w:rsidR="00A3515A" w:rsidRPr="009F63C7" w:rsidRDefault="00A3515A" w:rsidP="0070227C">
            <w:pPr>
              <w:rPr>
                <w:rFonts w:asciiTheme="majorHAnsi" w:hAnsiTheme="majorHAnsi" w:cstheme="majorHAnsi"/>
                <w:sz w:val="20"/>
                <w:szCs w:val="20"/>
                <w:highlight w:val="white"/>
              </w:rPr>
            </w:pPr>
            <w:proofErr w:type="spellStart"/>
            <w:r w:rsidRPr="009F63C7">
              <w:rPr>
                <w:rFonts w:asciiTheme="majorHAnsi" w:hAnsiTheme="majorHAnsi" w:cstheme="majorHAnsi"/>
                <w:sz w:val="20"/>
                <w:szCs w:val="20"/>
                <w:highlight w:val="white"/>
              </w:rPr>
              <w:t>capdev</w:t>
            </w:r>
            <w:proofErr w:type="spellEnd"/>
          </w:p>
        </w:tc>
        <w:tc>
          <w:tcPr>
            <w:tcW w:w="396" w:type="pct"/>
            <w:tcBorders>
              <w:top w:val="single" w:sz="6" w:space="0" w:color="000000"/>
              <w:left w:val="single" w:sz="6" w:space="0" w:color="000000"/>
              <w:bottom w:val="single" w:sz="6" w:space="0" w:color="000000"/>
              <w:right w:val="single" w:sz="6" w:space="0" w:color="000000"/>
            </w:tcBorders>
          </w:tcPr>
          <w:p w14:paraId="1C93C33C" w14:textId="77777777" w:rsidR="00A3515A" w:rsidRPr="009F63C7" w:rsidRDefault="00A3515A" w:rsidP="0070227C">
            <w:pPr>
              <w:rPr>
                <w:rFonts w:asciiTheme="majorHAnsi" w:hAnsiTheme="majorHAnsi" w:cstheme="majorHAnsi"/>
                <w:sz w:val="20"/>
                <w:szCs w:val="20"/>
              </w:rPr>
            </w:pPr>
            <w:r w:rsidRPr="009F63C7">
              <w:rPr>
                <w:rFonts w:asciiTheme="majorHAnsi" w:hAnsiTheme="majorHAnsi" w:cstheme="majorHAnsi"/>
                <w:sz w:val="20"/>
                <w:szCs w:val="20"/>
                <w:highlight w:val="white"/>
              </w:rPr>
              <w:t>Climate Change</w:t>
            </w:r>
          </w:p>
        </w:tc>
        <w:tc>
          <w:tcPr>
            <w:tcW w:w="521" w:type="pct"/>
            <w:tcBorders>
              <w:top w:val="single" w:sz="6" w:space="0" w:color="000000"/>
              <w:left w:val="single" w:sz="6" w:space="0" w:color="000000"/>
              <w:bottom w:val="single" w:sz="6" w:space="0" w:color="000000"/>
              <w:right w:val="single" w:sz="6" w:space="0" w:color="000000"/>
            </w:tcBorders>
          </w:tcPr>
          <w:p w14:paraId="6BB59A7A" w14:textId="77777777" w:rsidR="00A3515A" w:rsidRPr="009F63C7" w:rsidRDefault="00A3515A" w:rsidP="0070227C">
            <w:pPr>
              <w:rPr>
                <w:rFonts w:asciiTheme="majorHAnsi" w:hAnsiTheme="majorHAnsi" w:cstheme="majorHAnsi"/>
                <w:sz w:val="20"/>
                <w:szCs w:val="20"/>
                <w:highlight w:val="white"/>
              </w:rPr>
            </w:pPr>
          </w:p>
        </w:tc>
      </w:tr>
      <w:tr w:rsidR="00E362DD" w:rsidRPr="009F63C7" w14:paraId="1B3DD432" w14:textId="77777777" w:rsidTr="00E362DD">
        <w:trPr>
          <w:trHeight w:val="238"/>
        </w:trPr>
        <w:tc>
          <w:tcPr>
            <w:tcW w:w="737" w:type="pct"/>
            <w:tcBorders>
              <w:top w:val="single" w:sz="6" w:space="0" w:color="000000"/>
              <w:left w:val="single" w:sz="6" w:space="0" w:color="000000"/>
              <w:bottom w:val="single" w:sz="12" w:space="0" w:color="000000"/>
              <w:right w:val="single" w:sz="6" w:space="0" w:color="000000"/>
            </w:tcBorders>
            <w:shd w:val="clear" w:color="auto" w:fill="D9E2F3"/>
          </w:tcPr>
          <w:p w14:paraId="2408BD58" w14:textId="6EAADD8E" w:rsidR="00E362DD" w:rsidRPr="009F63C7" w:rsidRDefault="00E362DD" w:rsidP="00E362DD">
            <w:pPr>
              <w:rPr>
                <w:rFonts w:asciiTheme="majorHAnsi" w:hAnsiTheme="majorHAnsi" w:cstheme="majorHAnsi"/>
                <w:sz w:val="20"/>
                <w:szCs w:val="20"/>
              </w:rPr>
            </w:pPr>
            <w:r>
              <w:rPr>
                <w:rFonts w:asciiTheme="majorHAnsi" w:hAnsiTheme="majorHAnsi" w:cstheme="majorHAnsi"/>
                <w:sz w:val="20"/>
                <w:szCs w:val="20"/>
              </w:rPr>
              <w:t>No policy or legal instrument</w:t>
            </w:r>
          </w:p>
        </w:tc>
        <w:tc>
          <w:tcPr>
            <w:tcW w:w="1280" w:type="pct"/>
            <w:tcBorders>
              <w:top w:val="single" w:sz="6" w:space="0" w:color="000000"/>
              <w:left w:val="single" w:sz="6" w:space="0" w:color="000000"/>
              <w:bottom w:val="single" w:sz="12" w:space="0" w:color="000000"/>
              <w:right w:val="single" w:sz="6" w:space="0" w:color="000000"/>
            </w:tcBorders>
          </w:tcPr>
          <w:p w14:paraId="7E54961B" w14:textId="7CF33D66" w:rsidR="00E362DD" w:rsidRPr="009F63C7" w:rsidRDefault="00E362DD" w:rsidP="00E362DD">
            <w:pPr>
              <w:rPr>
                <w:rFonts w:asciiTheme="majorHAnsi" w:hAnsiTheme="majorHAnsi" w:cstheme="majorHAnsi"/>
                <w:sz w:val="20"/>
                <w:szCs w:val="20"/>
              </w:rPr>
            </w:pPr>
            <w:r>
              <w:rPr>
                <w:rFonts w:asciiTheme="majorHAnsi" w:hAnsiTheme="majorHAnsi" w:cstheme="majorHAnsi"/>
                <w:sz w:val="20"/>
                <w:szCs w:val="20"/>
              </w:rPr>
              <w:t>N/A</w:t>
            </w:r>
          </w:p>
        </w:tc>
        <w:tc>
          <w:tcPr>
            <w:tcW w:w="520" w:type="pct"/>
            <w:tcBorders>
              <w:top w:val="single" w:sz="6" w:space="0" w:color="000000"/>
              <w:left w:val="single" w:sz="6" w:space="0" w:color="000000"/>
              <w:bottom w:val="single" w:sz="12" w:space="0" w:color="000000"/>
              <w:right w:val="single" w:sz="6" w:space="0" w:color="000000"/>
            </w:tcBorders>
          </w:tcPr>
          <w:p w14:paraId="0E0F9268" w14:textId="5CAB639D" w:rsidR="00E362DD" w:rsidRPr="009F63C7" w:rsidRDefault="00E362DD" w:rsidP="00E362DD">
            <w:pPr>
              <w:rPr>
                <w:rFonts w:asciiTheme="majorHAnsi" w:hAnsiTheme="majorHAnsi" w:cstheme="majorHAnsi"/>
                <w:sz w:val="20"/>
                <w:szCs w:val="20"/>
              </w:rPr>
            </w:pPr>
            <w:r>
              <w:rPr>
                <w:rFonts w:asciiTheme="majorHAnsi" w:hAnsiTheme="majorHAnsi" w:cstheme="majorHAnsi"/>
                <w:sz w:val="20"/>
                <w:szCs w:val="20"/>
              </w:rPr>
              <w:t>N/A</w:t>
            </w:r>
          </w:p>
        </w:tc>
        <w:tc>
          <w:tcPr>
            <w:tcW w:w="520" w:type="pct"/>
            <w:tcBorders>
              <w:top w:val="single" w:sz="6" w:space="0" w:color="000000"/>
              <w:left w:val="single" w:sz="6" w:space="0" w:color="000000"/>
              <w:bottom w:val="single" w:sz="12" w:space="0" w:color="000000"/>
              <w:right w:val="single" w:sz="6" w:space="0" w:color="000000"/>
            </w:tcBorders>
          </w:tcPr>
          <w:p w14:paraId="0670585B" w14:textId="04B3D20D" w:rsidR="00E362DD" w:rsidRPr="009F63C7" w:rsidRDefault="00E362DD" w:rsidP="00E362DD">
            <w:pPr>
              <w:rPr>
                <w:rFonts w:asciiTheme="majorHAnsi" w:hAnsiTheme="majorHAnsi" w:cstheme="majorHAnsi"/>
                <w:sz w:val="20"/>
                <w:szCs w:val="20"/>
              </w:rPr>
            </w:pPr>
            <w:r>
              <w:rPr>
                <w:rFonts w:asciiTheme="majorHAnsi" w:hAnsiTheme="majorHAnsi" w:cstheme="majorHAnsi"/>
                <w:sz w:val="20"/>
                <w:szCs w:val="20"/>
              </w:rPr>
              <w:t>N/A</w:t>
            </w:r>
          </w:p>
        </w:tc>
        <w:tc>
          <w:tcPr>
            <w:tcW w:w="300" w:type="pct"/>
            <w:tcBorders>
              <w:top w:val="single" w:sz="6" w:space="0" w:color="000000"/>
              <w:left w:val="single" w:sz="6" w:space="0" w:color="000000"/>
              <w:bottom w:val="single" w:sz="12" w:space="0" w:color="000000"/>
              <w:right w:val="single" w:sz="6" w:space="0" w:color="000000"/>
            </w:tcBorders>
          </w:tcPr>
          <w:p w14:paraId="1EFA53DB" w14:textId="535C19C0" w:rsidR="00E362DD" w:rsidRPr="009F63C7" w:rsidRDefault="00E362DD" w:rsidP="00E362DD">
            <w:pPr>
              <w:rPr>
                <w:rFonts w:asciiTheme="majorHAnsi" w:hAnsiTheme="majorHAnsi" w:cstheme="majorHAnsi"/>
                <w:sz w:val="20"/>
                <w:szCs w:val="20"/>
                <w:highlight w:val="white"/>
              </w:rPr>
            </w:pPr>
            <w:r w:rsidRPr="00F47D71">
              <w:rPr>
                <w:rFonts w:asciiTheme="majorHAnsi" w:hAnsiTheme="majorHAnsi" w:cstheme="majorHAnsi"/>
                <w:sz w:val="20"/>
                <w:szCs w:val="20"/>
              </w:rPr>
              <w:t>N/A</w:t>
            </w:r>
          </w:p>
        </w:tc>
        <w:tc>
          <w:tcPr>
            <w:tcW w:w="354" w:type="pct"/>
            <w:tcBorders>
              <w:top w:val="single" w:sz="6" w:space="0" w:color="000000"/>
              <w:left w:val="single" w:sz="6" w:space="0" w:color="000000"/>
              <w:bottom w:val="single" w:sz="12" w:space="0" w:color="000000"/>
              <w:right w:val="single" w:sz="6" w:space="0" w:color="000000"/>
            </w:tcBorders>
          </w:tcPr>
          <w:p w14:paraId="046FC643" w14:textId="0F54BC63" w:rsidR="00E362DD" w:rsidRPr="009F63C7" w:rsidRDefault="00E362DD" w:rsidP="00E362DD">
            <w:pPr>
              <w:rPr>
                <w:rFonts w:asciiTheme="majorHAnsi" w:hAnsiTheme="majorHAnsi" w:cstheme="majorHAnsi"/>
                <w:sz w:val="20"/>
                <w:szCs w:val="20"/>
                <w:highlight w:val="white"/>
              </w:rPr>
            </w:pPr>
            <w:r w:rsidRPr="00F47D71">
              <w:rPr>
                <w:rFonts w:asciiTheme="majorHAnsi" w:hAnsiTheme="majorHAnsi" w:cstheme="majorHAnsi"/>
                <w:sz w:val="20"/>
                <w:szCs w:val="20"/>
              </w:rPr>
              <w:t>N/A</w:t>
            </w:r>
          </w:p>
        </w:tc>
        <w:tc>
          <w:tcPr>
            <w:tcW w:w="373" w:type="pct"/>
            <w:tcBorders>
              <w:top w:val="single" w:sz="6" w:space="0" w:color="000000"/>
              <w:left w:val="single" w:sz="6" w:space="0" w:color="000000"/>
              <w:bottom w:val="single" w:sz="12" w:space="0" w:color="000000"/>
              <w:right w:val="single" w:sz="6" w:space="0" w:color="000000"/>
            </w:tcBorders>
          </w:tcPr>
          <w:p w14:paraId="4F15B9AD" w14:textId="40CBC914" w:rsidR="00E362DD" w:rsidRPr="009F63C7" w:rsidRDefault="00E362DD" w:rsidP="00E362DD">
            <w:pPr>
              <w:rPr>
                <w:rFonts w:asciiTheme="majorHAnsi" w:hAnsiTheme="majorHAnsi" w:cstheme="majorHAnsi"/>
                <w:sz w:val="20"/>
                <w:szCs w:val="20"/>
                <w:highlight w:val="white"/>
              </w:rPr>
            </w:pPr>
            <w:r w:rsidRPr="00F47D71">
              <w:rPr>
                <w:rFonts w:asciiTheme="majorHAnsi" w:hAnsiTheme="majorHAnsi" w:cstheme="majorHAnsi"/>
                <w:sz w:val="20"/>
                <w:szCs w:val="20"/>
              </w:rPr>
              <w:t>N/A</w:t>
            </w:r>
          </w:p>
        </w:tc>
        <w:tc>
          <w:tcPr>
            <w:tcW w:w="396" w:type="pct"/>
            <w:tcBorders>
              <w:top w:val="single" w:sz="6" w:space="0" w:color="000000"/>
              <w:left w:val="single" w:sz="6" w:space="0" w:color="000000"/>
              <w:bottom w:val="single" w:sz="12" w:space="0" w:color="000000"/>
              <w:right w:val="single" w:sz="6" w:space="0" w:color="000000"/>
            </w:tcBorders>
          </w:tcPr>
          <w:p w14:paraId="0F810AAD" w14:textId="64EDD70F" w:rsidR="00E362DD" w:rsidRPr="009F63C7" w:rsidRDefault="00E362DD" w:rsidP="00E362DD">
            <w:pPr>
              <w:rPr>
                <w:rFonts w:asciiTheme="majorHAnsi" w:hAnsiTheme="majorHAnsi" w:cstheme="majorHAnsi"/>
                <w:sz w:val="20"/>
                <w:szCs w:val="20"/>
                <w:highlight w:val="white"/>
              </w:rPr>
            </w:pPr>
            <w:r w:rsidRPr="00F47D71">
              <w:rPr>
                <w:rFonts w:asciiTheme="majorHAnsi" w:hAnsiTheme="majorHAnsi" w:cstheme="majorHAnsi"/>
                <w:sz w:val="20"/>
                <w:szCs w:val="20"/>
              </w:rPr>
              <w:t>N/A</w:t>
            </w:r>
          </w:p>
        </w:tc>
        <w:tc>
          <w:tcPr>
            <w:tcW w:w="521" w:type="pct"/>
            <w:tcBorders>
              <w:top w:val="single" w:sz="6" w:space="0" w:color="000000"/>
              <w:left w:val="single" w:sz="6" w:space="0" w:color="000000"/>
              <w:bottom w:val="single" w:sz="12" w:space="0" w:color="000000"/>
              <w:right w:val="single" w:sz="6" w:space="0" w:color="000000"/>
            </w:tcBorders>
          </w:tcPr>
          <w:p w14:paraId="648346BE" w14:textId="13604FA4" w:rsidR="00E362DD" w:rsidRPr="009F63C7" w:rsidRDefault="00E362DD" w:rsidP="00E362DD">
            <w:pPr>
              <w:rPr>
                <w:rFonts w:asciiTheme="majorHAnsi" w:hAnsiTheme="majorHAnsi" w:cstheme="majorHAnsi"/>
                <w:sz w:val="20"/>
                <w:szCs w:val="20"/>
                <w:highlight w:val="white"/>
              </w:rPr>
            </w:pPr>
            <w:r w:rsidRPr="00F47D71">
              <w:rPr>
                <w:rFonts w:asciiTheme="majorHAnsi" w:hAnsiTheme="majorHAnsi" w:cstheme="majorHAnsi"/>
                <w:sz w:val="20"/>
                <w:szCs w:val="20"/>
              </w:rPr>
              <w:t>N/A</w:t>
            </w:r>
          </w:p>
        </w:tc>
      </w:tr>
    </w:tbl>
    <w:p w14:paraId="3BA355F0" w14:textId="77777777" w:rsidR="006E40C8" w:rsidRDefault="006E40C8" w:rsidP="006E40C8">
      <w:pPr>
        <w:contextualSpacing/>
      </w:pPr>
    </w:p>
    <w:p w14:paraId="0424A79E" w14:textId="5C668EDA" w:rsidR="006E40C8" w:rsidRDefault="006E40C8" w:rsidP="006E40C8">
      <w:pPr>
        <w:pStyle w:val="Heading1"/>
      </w:pPr>
      <w:bookmarkStart w:id="21" w:name="_Ref531264500"/>
      <w:bookmarkStart w:id="22" w:name="_Toc531264776"/>
      <w:bookmarkStart w:id="23" w:name="_Hlk531117973"/>
      <w:bookmarkStart w:id="24" w:name="_Toc531191910"/>
      <w:bookmarkStart w:id="25" w:name="_Ref531211982"/>
      <w:bookmarkStart w:id="26" w:name="_Ref531211983"/>
      <w:bookmarkEnd w:id="20"/>
      <w:r w:rsidRPr="00413F1B">
        <w:rPr>
          <w:color w:val="BFBFBF" w:themeColor="background1" w:themeShade="BF"/>
          <w:sz w:val="24"/>
        </w:rPr>
        <w:t>Table 4:  Condensed list of innovations by stage for this reporting year</w:t>
      </w:r>
      <w:bookmarkEnd w:id="21"/>
      <w:bookmarkEnd w:id="22"/>
    </w:p>
    <w:p w14:paraId="0D3EFA32" w14:textId="77777777" w:rsidR="006E40C8" w:rsidRPr="00602581" w:rsidRDefault="006E40C8" w:rsidP="006E40C8">
      <w:r>
        <w:t xml:space="preserve">Please complete the table below and report the supporting document in MEL unless you have already an external link to be provided.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227"/>
        <w:gridCol w:w="2893"/>
        <w:gridCol w:w="3415"/>
        <w:gridCol w:w="3415"/>
      </w:tblGrid>
      <w:tr w:rsidR="00A3515A" w:rsidRPr="009F63C7" w14:paraId="1C80E76A" w14:textId="77777777" w:rsidTr="000F1CF0">
        <w:tc>
          <w:tcPr>
            <w:tcW w:w="1515" w:type="pct"/>
            <w:shd w:val="clear" w:color="auto" w:fill="FFF2CC"/>
          </w:tcPr>
          <w:p w14:paraId="5368C7C5" w14:textId="77777777" w:rsidR="00A3515A" w:rsidRPr="009F63C7" w:rsidRDefault="00A3515A" w:rsidP="00345FD6">
            <w:pPr>
              <w:spacing w:before="100"/>
              <w:rPr>
                <w:rFonts w:asciiTheme="majorHAnsi" w:hAnsiTheme="majorHAnsi" w:cstheme="majorHAnsi"/>
                <w:sz w:val="20"/>
                <w:szCs w:val="20"/>
              </w:rPr>
            </w:pPr>
            <w:r w:rsidRPr="009F63C7">
              <w:rPr>
                <w:rFonts w:asciiTheme="majorHAnsi" w:hAnsiTheme="majorHAnsi" w:cstheme="majorHAnsi"/>
                <w:b/>
                <w:sz w:val="20"/>
                <w:szCs w:val="20"/>
              </w:rPr>
              <w:t>Title of innovation with link</w:t>
            </w:r>
            <w:r w:rsidRPr="009F63C7">
              <w:rPr>
                <w:rFonts w:asciiTheme="majorHAnsi" w:hAnsiTheme="majorHAnsi" w:cstheme="majorHAnsi"/>
                <w:sz w:val="20"/>
                <w:szCs w:val="20"/>
              </w:rPr>
              <w:t xml:space="preserve"> (e.g. to CLARISA dashboard, MARLO).</w:t>
            </w:r>
          </w:p>
        </w:tc>
        <w:tc>
          <w:tcPr>
            <w:tcW w:w="1037" w:type="pct"/>
            <w:shd w:val="clear" w:color="auto" w:fill="FFF2CC"/>
          </w:tcPr>
          <w:p w14:paraId="75C4AD53" w14:textId="77777777" w:rsidR="00A3515A" w:rsidRPr="009F63C7" w:rsidRDefault="00A3515A" w:rsidP="00345FD6">
            <w:pPr>
              <w:spacing w:before="100"/>
              <w:rPr>
                <w:rFonts w:asciiTheme="majorHAnsi" w:hAnsiTheme="majorHAnsi" w:cstheme="majorHAnsi"/>
                <w:sz w:val="20"/>
                <w:szCs w:val="20"/>
              </w:rPr>
            </w:pPr>
            <w:r w:rsidRPr="009F63C7">
              <w:rPr>
                <w:rFonts w:asciiTheme="majorHAnsi" w:hAnsiTheme="majorHAnsi" w:cstheme="majorHAnsi"/>
                <w:b/>
                <w:sz w:val="20"/>
                <w:szCs w:val="20"/>
              </w:rPr>
              <w:t>Innovation Type</w:t>
            </w:r>
          </w:p>
        </w:tc>
        <w:tc>
          <w:tcPr>
            <w:tcW w:w="1224" w:type="pct"/>
            <w:shd w:val="clear" w:color="auto" w:fill="FFF2CC"/>
          </w:tcPr>
          <w:p w14:paraId="153A446A" w14:textId="77777777" w:rsidR="00A3515A" w:rsidRPr="009F63C7" w:rsidRDefault="00A3515A" w:rsidP="00345FD6">
            <w:pPr>
              <w:tabs>
                <w:tab w:val="left" w:pos="2722"/>
              </w:tabs>
              <w:contextualSpacing/>
              <w:rPr>
                <w:rFonts w:asciiTheme="majorHAnsi" w:hAnsiTheme="majorHAnsi" w:cstheme="majorHAnsi"/>
                <w:sz w:val="20"/>
                <w:szCs w:val="20"/>
              </w:rPr>
            </w:pPr>
            <w:r w:rsidRPr="009F63C7">
              <w:rPr>
                <w:rFonts w:asciiTheme="majorHAnsi" w:hAnsiTheme="majorHAnsi" w:cstheme="majorHAnsi"/>
                <w:b/>
                <w:sz w:val="20"/>
                <w:szCs w:val="20"/>
              </w:rPr>
              <w:t>Stage of innovation</w:t>
            </w:r>
          </w:p>
        </w:tc>
        <w:tc>
          <w:tcPr>
            <w:tcW w:w="1224" w:type="pct"/>
            <w:shd w:val="clear" w:color="auto" w:fill="FFF2CC"/>
          </w:tcPr>
          <w:p w14:paraId="775F4256" w14:textId="77777777" w:rsidR="00A3515A" w:rsidRPr="009F63C7" w:rsidRDefault="00A3515A" w:rsidP="00345FD6">
            <w:pPr>
              <w:tabs>
                <w:tab w:val="left" w:pos="2722"/>
              </w:tabs>
              <w:contextualSpacing/>
              <w:rPr>
                <w:rFonts w:asciiTheme="majorHAnsi" w:hAnsiTheme="majorHAnsi" w:cstheme="majorHAnsi"/>
                <w:b/>
                <w:sz w:val="20"/>
                <w:szCs w:val="20"/>
              </w:rPr>
            </w:pPr>
            <w:r w:rsidRPr="009F63C7">
              <w:rPr>
                <w:rFonts w:asciiTheme="majorHAnsi" w:hAnsiTheme="majorHAnsi" w:cstheme="majorHAnsi"/>
                <w:b/>
                <w:sz w:val="20"/>
                <w:szCs w:val="20"/>
              </w:rPr>
              <w:t>Geographic scope (with location)</w:t>
            </w:r>
          </w:p>
        </w:tc>
      </w:tr>
      <w:tr w:rsidR="000F1CF0" w:rsidRPr="009F63C7" w14:paraId="6EC2FD01" w14:textId="77777777" w:rsidTr="000F1CF0">
        <w:trPr>
          <w:trHeight w:val="32"/>
        </w:trPr>
        <w:tc>
          <w:tcPr>
            <w:tcW w:w="1515" w:type="pct"/>
          </w:tcPr>
          <w:p w14:paraId="3F68D6DB" w14:textId="03EC4F26" w:rsidR="000F1CF0" w:rsidRPr="00E362DD" w:rsidRDefault="000F1CF0" w:rsidP="000F1CF0">
            <w:pPr>
              <w:rPr>
                <w:rFonts w:asciiTheme="majorHAnsi" w:hAnsiTheme="majorHAnsi" w:cstheme="majorHAnsi"/>
                <w:sz w:val="20"/>
                <w:szCs w:val="20"/>
              </w:rPr>
            </w:pPr>
            <w:r>
              <w:rPr>
                <w:rFonts w:asciiTheme="majorHAnsi" w:hAnsiTheme="majorHAnsi" w:cstheme="majorHAnsi"/>
                <w:sz w:val="20"/>
                <w:szCs w:val="20"/>
              </w:rPr>
              <w:t xml:space="preserve">Methods for measuring the number of poor people lifted out of poverty due to adoption of improved varieties </w:t>
            </w:r>
            <w:r w:rsidRPr="000F1CF0">
              <w:rPr>
                <w:rFonts w:asciiTheme="majorHAnsi" w:hAnsiTheme="majorHAnsi" w:cstheme="majorHAnsi"/>
                <w:sz w:val="20"/>
                <w:szCs w:val="20"/>
              </w:rPr>
              <w:t>(</w:t>
            </w:r>
            <w:r w:rsidRPr="000F1CF0">
              <w:rPr>
                <w:rStyle w:val="Hyperlink"/>
                <w:rFonts w:asciiTheme="majorHAnsi" w:hAnsiTheme="majorHAnsi" w:cstheme="majorHAnsi"/>
                <w:sz w:val="20"/>
                <w:szCs w:val="20"/>
              </w:rPr>
              <w:t>https://doi.org/10.1016/j.worlddev.2019.05.027)</w:t>
            </w:r>
          </w:p>
        </w:tc>
        <w:tc>
          <w:tcPr>
            <w:tcW w:w="1037" w:type="pct"/>
          </w:tcPr>
          <w:p w14:paraId="51B3D1F9" w14:textId="77777777" w:rsidR="000F1CF0" w:rsidRDefault="000F1CF0" w:rsidP="000F1CF0">
            <w:pPr>
              <w:rPr>
                <w:rFonts w:asciiTheme="majorHAnsi" w:hAnsiTheme="majorHAnsi" w:cstheme="majorHAnsi"/>
                <w:sz w:val="20"/>
                <w:szCs w:val="20"/>
              </w:rPr>
            </w:pPr>
            <w:r>
              <w:rPr>
                <w:rFonts w:asciiTheme="majorHAnsi" w:hAnsiTheme="majorHAnsi" w:cstheme="majorHAnsi"/>
                <w:sz w:val="20"/>
                <w:szCs w:val="20"/>
              </w:rPr>
              <w:t>Methods and tools</w:t>
            </w:r>
          </w:p>
          <w:p w14:paraId="34076461" w14:textId="77777777" w:rsidR="000F1CF0" w:rsidRPr="00E362DD" w:rsidRDefault="000F1CF0" w:rsidP="000F1CF0">
            <w:pPr>
              <w:rPr>
                <w:rFonts w:asciiTheme="majorHAnsi" w:hAnsiTheme="majorHAnsi" w:cstheme="majorHAnsi"/>
                <w:sz w:val="20"/>
                <w:szCs w:val="20"/>
              </w:rPr>
            </w:pPr>
          </w:p>
        </w:tc>
        <w:tc>
          <w:tcPr>
            <w:tcW w:w="1224" w:type="pct"/>
          </w:tcPr>
          <w:p w14:paraId="1AA2A865" w14:textId="7A8B10ED" w:rsidR="000F1CF0" w:rsidRPr="00E362DD" w:rsidRDefault="000F1CF0" w:rsidP="000F1CF0">
            <w:pPr>
              <w:rPr>
                <w:rFonts w:asciiTheme="majorHAnsi" w:hAnsiTheme="majorHAnsi" w:cstheme="majorHAnsi"/>
                <w:sz w:val="20"/>
                <w:szCs w:val="20"/>
              </w:rPr>
            </w:pPr>
            <w:r>
              <w:rPr>
                <w:rFonts w:asciiTheme="majorHAnsi" w:hAnsiTheme="majorHAnsi" w:cstheme="majorHAnsi"/>
                <w:sz w:val="20"/>
                <w:szCs w:val="20"/>
              </w:rPr>
              <w:t>2</w:t>
            </w:r>
          </w:p>
        </w:tc>
        <w:tc>
          <w:tcPr>
            <w:tcW w:w="1224" w:type="pct"/>
          </w:tcPr>
          <w:p w14:paraId="6D22E548" w14:textId="44153B46" w:rsidR="000F1CF0" w:rsidRPr="00E362DD" w:rsidRDefault="000F1CF0" w:rsidP="000F1CF0">
            <w:pPr>
              <w:rPr>
                <w:rFonts w:asciiTheme="majorHAnsi" w:hAnsiTheme="majorHAnsi" w:cstheme="majorHAnsi"/>
                <w:sz w:val="20"/>
                <w:szCs w:val="20"/>
              </w:rPr>
            </w:pPr>
            <w:r>
              <w:rPr>
                <w:rFonts w:asciiTheme="majorHAnsi" w:hAnsiTheme="majorHAnsi" w:cstheme="majorHAnsi"/>
                <w:sz w:val="20"/>
                <w:szCs w:val="20"/>
              </w:rPr>
              <w:t>Nigeria</w:t>
            </w:r>
          </w:p>
        </w:tc>
      </w:tr>
    </w:tbl>
    <w:p w14:paraId="5B051366" w14:textId="77777777" w:rsidR="006E40C8" w:rsidRDefault="006E40C8" w:rsidP="006E40C8">
      <w:pPr>
        <w:jc w:val="both"/>
      </w:pPr>
    </w:p>
    <w:p w14:paraId="6CC60B51" w14:textId="77777777" w:rsidR="006E40C8" w:rsidRDefault="006E40C8" w:rsidP="006E40C8">
      <w:pPr>
        <w:jc w:val="both"/>
      </w:pPr>
      <w:r w:rsidRPr="00262B2F">
        <w:rPr>
          <w:rFonts w:asciiTheme="majorHAnsi" w:eastAsiaTheme="majorEastAsia" w:hAnsiTheme="majorHAnsi" w:cstheme="majorBidi"/>
          <w:color w:val="BFBFBF" w:themeColor="background1" w:themeShade="BF"/>
          <w:szCs w:val="32"/>
        </w:rPr>
        <w:t>T</w:t>
      </w:r>
      <w:r w:rsidRPr="00D249F6">
        <w:rPr>
          <w:rFonts w:asciiTheme="majorHAnsi" w:eastAsiaTheme="majorEastAsia" w:hAnsiTheme="majorHAnsi" w:cstheme="majorBidi"/>
          <w:color w:val="BFBFBF" w:themeColor="background1" w:themeShade="BF"/>
          <w:szCs w:val="32"/>
        </w:rPr>
        <w:t>able 5: List of Outcome Cases submitted by CoA Leaders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594"/>
        <w:gridCol w:w="2762"/>
        <w:gridCol w:w="2762"/>
        <w:gridCol w:w="2832"/>
      </w:tblGrid>
      <w:tr w:rsidR="00A3515A" w:rsidRPr="009F63C7" w14:paraId="60892F36" w14:textId="77777777" w:rsidTr="0070227C">
        <w:tc>
          <w:tcPr>
            <w:tcW w:w="2005" w:type="pct"/>
            <w:shd w:val="clear" w:color="auto" w:fill="FFF2CC"/>
          </w:tcPr>
          <w:p w14:paraId="763F53F6" w14:textId="77777777" w:rsidR="00A3515A" w:rsidRPr="009F63C7" w:rsidRDefault="00A3515A" w:rsidP="0070227C">
            <w:pPr>
              <w:spacing w:before="100"/>
              <w:rPr>
                <w:rFonts w:asciiTheme="majorHAnsi" w:hAnsiTheme="majorHAnsi" w:cstheme="majorHAnsi"/>
                <w:b/>
                <w:sz w:val="20"/>
                <w:szCs w:val="20"/>
              </w:rPr>
            </w:pPr>
            <w:bookmarkStart w:id="27" w:name="_fa3uobz81brd" w:colFirst="0" w:colLast="0"/>
            <w:bookmarkStart w:id="28" w:name="_opeb30bjaxql" w:colFirst="0" w:colLast="0"/>
            <w:bookmarkStart w:id="29" w:name="_t0rsms71kfhu" w:colFirst="0" w:colLast="0"/>
            <w:bookmarkStart w:id="30" w:name="_xvir7l" w:colFirst="0" w:colLast="0"/>
            <w:bookmarkStart w:id="31" w:name="_m8wfduvy79f1" w:colFirst="0" w:colLast="0"/>
            <w:bookmarkStart w:id="32" w:name="_4h042r0" w:colFirst="0" w:colLast="0"/>
            <w:bookmarkStart w:id="33" w:name="_buktksmnolrh" w:colFirst="0" w:colLast="0"/>
            <w:bookmarkEnd w:id="23"/>
            <w:bookmarkEnd w:id="24"/>
            <w:bookmarkEnd w:id="25"/>
            <w:bookmarkEnd w:id="26"/>
            <w:bookmarkEnd w:id="27"/>
            <w:bookmarkEnd w:id="28"/>
            <w:bookmarkEnd w:id="29"/>
            <w:bookmarkEnd w:id="30"/>
            <w:bookmarkEnd w:id="31"/>
            <w:bookmarkEnd w:id="32"/>
            <w:bookmarkEnd w:id="33"/>
            <w:r w:rsidRPr="009F63C7">
              <w:rPr>
                <w:rFonts w:asciiTheme="majorHAnsi" w:hAnsiTheme="majorHAnsi" w:cstheme="majorHAnsi"/>
                <w:b/>
                <w:sz w:val="20"/>
                <w:szCs w:val="20"/>
              </w:rPr>
              <w:t xml:space="preserve">Title of Outcome/ Impact Case Report (OICR) </w:t>
            </w:r>
          </w:p>
          <w:p w14:paraId="768502FE" w14:textId="77777777" w:rsidR="00A3515A" w:rsidRPr="009F63C7" w:rsidRDefault="00A3515A" w:rsidP="0070227C">
            <w:pPr>
              <w:spacing w:before="100"/>
              <w:rPr>
                <w:rFonts w:asciiTheme="majorHAnsi" w:hAnsiTheme="majorHAnsi" w:cstheme="majorHAnsi"/>
                <w:sz w:val="20"/>
                <w:szCs w:val="20"/>
              </w:rPr>
            </w:pPr>
          </w:p>
        </w:tc>
        <w:tc>
          <w:tcPr>
            <w:tcW w:w="990" w:type="pct"/>
            <w:shd w:val="clear" w:color="auto" w:fill="FFF2CC"/>
          </w:tcPr>
          <w:p w14:paraId="67D0C993" w14:textId="77777777" w:rsidR="00A3515A" w:rsidRPr="009F63C7" w:rsidRDefault="00A3515A" w:rsidP="0070227C">
            <w:pPr>
              <w:spacing w:before="100"/>
              <w:rPr>
                <w:rFonts w:asciiTheme="majorHAnsi" w:hAnsiTheme="majorHAnsi" w:cstheme="majorHAnsi"/>
                <w:b/>
                <w:sz w:val="20"/>
                <w:szCs w:val="20"/>
              </w:rPr>
            </w:pPr>
            <w:r>
              <w:rPr>
                <w:rFonts w:asciiTheme="majorHAnsi" w:hAnsiTheme="majorHAnsi" w:cstheme="majorHAnsi"/>
                <w:b/>
                <w:sz w:val="20"/>
                <w:szCs w:val="20"/>
              </w:rPr>
              <w:t>L</w:t>
            </w:r>
            <w:r w:rsidRPr="009F63C7">
              <w:rPr>
                <w:rFonts w:asciiTheme="majorHAnsi" w:hAnsiTheme="majorHAnsi" w:cstheme="majorHAnsi"/>
                <w:b/>
                <w:sz w:val="20"/>
                <w:szCs w:val="20"/>
              </w:rPr>
              <w:t>ink</w:t>
            </w:r>
            <w:r w:rsidRPr="009F63C7">
              <w:rPr>
                <w:rFonts w:asciiTheme="majorHAnsi" w:hAnsiTheme="majorHAnsi" w:cstheme="majorHAnsi"/>
                <w:sz w:val="20"/>
                <w:szCs w:val="20"/>
              </w:rPr>
              <w:t xml:space="preserve"> </w:t>
            </w:r>
            <w:r>
              <w:rPr>
                <w:rFonts w:asciiTheme="majorHAnsi" w:hAnsiTheme="majorHAnsi" w:cstheme="majorHAnsi"/>
                <w:sz w:val="20"/>
                <w:szCs w:val="20"/>
              </w:rPr>
              <w:t>to full OICR</w:t>
            </w:r>
            <w:r w:rsidRPr="009F63C7">
              <w:rPr>
                <w:rFonts w:asciiTheme="majorHAnsi" w:hAnsiTheme="majorHAnsi" w:cstheme="majorHAnsi"/>
                <w:sz w:val="20"/>
                <w:szCs w:val="20"/>
              </w:rPr>
              <w:t>.</w:t>
            </w:r>
          </w:p>
        </w:tc>
        <w:tc>
          <w:tcPr>
            <w:tcW w:w="990" w:type="pct"/>
            <w:shd w:val="clear" w:color="auto" w:fill="FFF2CC"/>
          </w:tcPr>
          <w:p w14:paraId="4FD1FD9E" w14:textId="77777777" w:rsidR="00A3515A" w:rsidRPr="009F63C7" w:rsidRDefault="00A3515A" w:rsidP="0070227C">
            <w:pPr>
              <w:spacing w:before="100"/>
              <w:rPr>
                <w:rFonts w:asciiTheme="majorHAnsi" w:hAnsiTheme="majorHAnsi" w:cstheme="majorHAnsi"/>
                <w:sz w:val="20"/>
                <w:szCs w:val="20"/>
              </w:rPr>
            </w:pPr>
            <w:r w:rsidRPr="009F63C7">
              <w:rPr>
                <w:rFonts w:asciiTheme="majorHAnsi" w:hAnsiTheme="majorHAnsi" w:cstheme="majorHAnsi"/>
                <w:b/>
                <w:sz w:val="20"/>
                <w:szCs w:val="20"/>
              </w:rPr>
              <w:t xml:space="preserve">Maturity level </w:t>
            </w:r>
            <w:r w:rsidRPr="009F63C7">
              <w:rPr>
                <w:rFonts w:asciiTheme="majorHAnsi" w:hAnsiTheme="majorHAnsi" w:cstheme="majorHAnsi"/>
                <w:sz w:val="20"/>
                <w:szCs w:val="20"/>
              </w:rPr>
              <w:t xml:space="preserve">drop down for: </w:t>
            </w:r>
            <w:r w:rsidRPr="009F63C7">
              <w:rPr>
                <w:rFonts w:asciiTheme="majorHAnsi" w:hAnsiTheme="majorHAnsi" w:cstheme="majorHAnsi"/>
                <w:sz w:val="20"/>
                <w:szCs w:val="20"/>
              </w:rPr>
              <w:br/>
              <w:t>1, 2, or 3</w:t>
            </w:r>
          </w:p>
        </w:tc>
        <w:tc>
          <w:tcPr>
            <w:tcW w:w="1015" w:type="pct"/>
            <w:shd w:val="clear" w:color="auto" w:fill="FFF2CC"/>
          </w:tcPr>
          <w:p w14:paraId="45FB81D8" w14:textId="77777777" w:rsidR="00A3515A" w:rsidRPr="009F63C7" w:rsidRDefault="00A3515A" w:rsidP="0070227C">
            <w:pPr>
              <w:spacing w:before="100"/>
              <w:rPr>
                <w:rFonts w:asciiTheme="majorHAnsi" w:hAnsiTheme="majorHAnsi" w:cstheme="majorHAnsi"/>
                <w:sz w:val="20"/>
                <w:szCs w:val="20"/>
              </w:rPr>
            </w:pPr>
            <w:r w:rsidRPr="009F63C7">
              <w:rPr>
                <w:rFonts w:asciiTheme="majorHAnsi" w:hAnsiTheme="majorHAnsi" w:cstheme="majorHAnsi"/>
                <w:b/>
                <w:sz w:val="20"/>
                <w:szCs w:val="20"/>
              </w:rPr>
              <w:t xml:space="preserve">Indicate if this is: </w:t>
            </w:r>
            <w:r w:rsidRPr="009F63C7">
              <w:rPr>
                <w:rFonts w:asciiTheme="majorHAnsi" w:hAnsiTheme="majorHAnsi" w:cstheme="majorHAnsi"/>
                <w:sz w:val="20"/>
                <w:szCs w:val="20"/>
              </w:rPr>
              <w:t>(drop down)</w:t>
            </w:r>
            <w:r w:rsidRPr="009F63C7">
              <w:rPr>
                <w:rFonts w:asciiTheme="majorHAnsi" w:hAnsiTheme="majorHAnsi" w:cstheme="majorHAnsi"/>
                <w:sz w:val="20"/>
                <w:szCs w:val="20"/>
              </w:rPr>
              <w:tab/>
            </w:r>
          </w:p>
          <w:p w14:paraId="5CB12770" w14:textId="77777777" w:rsidR="00A3515A" w:rsidRPr="009F63C7" w:rsidRDefault="00A3515A" w:rsidP="00A3515A">
            <w:pPr>
              <w:numPr>
                <w:ilvl w:val="0"/>
                <w:numId w:val="1"/>
              </w:numPr>
              <w:ind w:left="270" w:hanging="270"/>
              <w:contextualSpacing/>
              <w:rPr>
                <w:rFonts w:asciiTheme="majorHAnsi" w:hAnsiTheme="majorHAnsi" w:cstheme="majorHAnsi"/>
                <w:sz w:val="20"/>
                <w:szCs w:val="20"/>
              </w:rPr>
            </w:pPr>
            <w:r w:rsidRPr="009F63C7">
              <w:rPr>
                <w:rFonts w:asciiTheme="majorHAnsi" w:hAnsiTheme="majorHAnsi" w:cstheme="majorHAnsi"/>
                <w:sz w:val="20"/>
                <w:szCs w:val="20"/>
              </w:rPr>
              <w:t>new outcome</w:t>
            </w:r>
          </w:p>
          <w:p w14:paraId="1342EA14" w14:textId="77777777" w:rsidR="00A3515A" w:rsidRPr="009F63C7" w:rsidRDefault="00A3515A" w:rsidP="00A3515A">
            <w:pPr>
              <w:numPr>
                <w:ilvl w:val="0"/>
                <w:numId w:val="1"/>
              </w:numPr>
              <w:ind w:left="270" w:hanging="270"/>
              <w:contextualSpacing/>
              <w:rPr>
                <w:rFonts w:asciiTheme="majorHAnsi" w:hAnsiTheme="majorHAnsi" w:cstheme="majorHAnsi"/>
                <w:sz w:val="20"/>
                <w:szCs w:val="20"/>
              </w:rPr>
            </w:pPr>
            <w:r w:rsidRPr="009F63C7">
              <w:rPr>
                <w:rFonts w:asciiTheme="majorHAnsi" w:hAnsiTheme="majorHAnsi" w:cstheme="majorHAnsi"/>
                <w:sz w:val="20"/>
                <w:szCs w:val="20"/>
              </w:rPr>
              <w:lastRenderedPageBreak/>
              <w:t>updated Case- same level of maturity</w:t>
            </w:r>
          </w:p>
          <w:p w14:paraId="091AB472" w14:textId="77777777" w:rsidR="00A3515A" w:rsidRPr="009F63C7" w:rsidRDefault="00A3515A" w:rsidP="00A3515A">
            <w:pPr>
              <w:numPr>
                <w:ilvl w:val="0"/>
                <w:numId w:val="1"/>
              </w:numPr>
              <w:tabs>
                <w:tab w:val="left" w:pos="2722"/>
              </w:tabs>
              <w:ind w:left="270" w:hanging="270"/>
              <w:contextualSpacing/>
              <w:rPr>
                <w:rFonts w:asciiTheme="majorHAnsi" w:hAnsiTheme="majorHAnsi" w:cstheme="majorHAnsi"/>
                <w:sz w:val="20"/>
                <w:szCs w:val="20"/>
              </w:rPr>
            </w:pPr>
            <w:r w:rsidRPr="009F63C7">
              <w:rPr>
                <w:rFonts w:asciiTheme="majorHAnsi" w:hAnsiTheme="majorHAnsi" w:cstheme="majorHAnsi"/>
                <w:sz w:val="20"/>
                <w:szCs w:val="20"/>
              </w:rPr>
              <w:t>updated Case- new level of maturity</w:t>
            </w:r>
          </w:p>
        </w:tc>
      </w:tr>
      <w:tr w:rsidR="00A3515A" w:rsidRPr="009F63C7" w14:paraId="24AC0E56" w14:textId="77777777" w:rsidTr="0070227C">
        <w:trPr>
          <w:trHeight w:val="32"/>
        </w:trPr>
        <w:tc>
          <w:tcPr>
            <w:tcW w:w="2005" w:type="pct"/>
          </w:tcPr>
          <w:p w14:paraId="09E5147F" w14:textId="21CAAE77" w:rsidR="00A3515A" w:rsidRPr="009F63C7" w:rsidRDefault="004B2A2D" w:rsidP="0070227C">
            <w:pPr>
              <w:rPr>
                <w:rFonts w:asciiTheme="majorHAnsi" w:hAnsiTheme="majorHAnsi" w:cstheme="majorHAnsi"/>
                <w:sz w:val="20"/>
                <w:szCs w:val="20"/>
              </w:rPr>
            </w:pPr>
            <w:r>
              <w:rPr>
                <w:rFonts w:asciiTheme="majorHAnsi" w:hAnsiTheme="majorHAnsi" w:cstheme="majorHAnsi"/>
                <w:sz w:val="20"/>
                <w:szCs w:val="20"/>
              </w:rPr>
              <w:t>Adoption and impacts of improved cowpea varieties in Nigeria</w:t>
            </w:r>
          </w:p>
        </w:tc>
        <w:tc>
          <w:tcPr>
            <w:tcW w:w="990" w:type="pct"/>
          </w:tcPr>
          <w:p w14:paraId="344FF280" w14:textId="77777777" w:rsidR="00A3515A" w:rsidRPr="009F63C7" w:rsidRDefault="00A3515A" w:rsidP="0070227C">
            <w:pPr>
              <w:rPr>
                <w:rFonts w:asciiTheme="majorHAnsi" w:hAnsiTheme="majorHAnsi" w:cstheme="majorHAnsi"/>
                <w:sz w:val="20"/>
                <w:szCs w:val="20"/>
              </w:rPr>
            </w:pPr>
          </w:p>
        </w:tc>
        <w:tc>
          <w:tcPr>
            <w:tcW w:w="990" w:type="pct"/>
          </w:tcPr>
          <w:p w14:paraId="7A16F256" w14:textId="77777777" w:rsidR="00A3515A" w:rsidRPr="009F63C7" w:rsidRDefault="00A3515A" w:rsidP="0070227C">
            <w:pPr>
              <w:rPr>
                <w:rFonts w:asciiTheme="majorHAnsi" w:hAnsiTheme="majorHAnsi" w:cstheme="majorHAnsi"/>
                <w:sz w:val="20"/>
                <w:szCs w:val="20"/>
              </w:rPr>
            </w:pPr>
          </w:p>
        </w:tc>
        <w:tc>
          <w:tcPr>
            <w:tcW w:w="1015" w:type="pct"/>
          </w:tcPr>
          <w:p w14:paraId="5D5BC547" w14:textId="3CDE734B" w:rsidR="00A3515A" w:rsidRPr="009F63C7" w:rsidRDefault="00FC4C41" w:rsidP="0070227C">
            <w:pPr>
              <w:rPr>
                <w:rFonts w:asciiTheme="majorHAnsi" w:hAnsiTheme="majorHAnsi" w:cstheme="majorHAnsi"/>
                <w:sz w:val="20"/>
                <w:szCs w:val="20"/>
              </w:rPr>
            </w:pPr>
            <w:r>
              <w:rPr>
                <w:rFonts w:asciiTheme="majorHAnsi" w:hAnsiTheme="majorHAnsi" w:cstheme="majorHAnsi"/>
                <w:sz w:val="20"/>
                <w:szCs w:val="20"/>
              </w:rPr>
              <w:t>New outcome</w:t>
            </w:r>
          </w:p>
        </w:tc>
      </w:tr>
    </w:tbl>
    <w:p w14:paraId="6AF608C1" w14:textId="58D356DB" w:rsidR="002B0A39" w:rsidRDefault="002B0A39"/>
    <w:p w14:paraId="3EB800A0" w14:textId="3C23185E" w:rsidR="00D70C9E" w:rsidRPr="00DA4E83" w:rsidRDefault="00DA4E83" w:rsidP="00DA4E83">
      <w:pPr>
        <w:pStyle w:val="Heading1"/>
        <w:rPr>
          <w:color w:val="BFBFBF" w:themeColor="background1" w:themeShade="BF"/>
          <w:sz w:val="24"/>
        </w:rPr>
      </w:pPr>
      <w:r w:rsidRPr="00DA4E83">
        <w:rPr>
          <w:color w:val="BFBFBF" w:themeColor="background1" w:themeShade="BF"/>
          <w:sz w:val="24"/>
        </w:rPr>
        <w:t>Table 11: Examples of W1/2 Use in this reporting period (2019)</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259"/>
        <w:gridCol w:w="4950"/>
      </w:tblGrid>
      <w:tr w:rsidR="00D70C9E" w:rsidRPr="00017244" w14:paraId="0B96E2E7" w14:textId="77777777" w:rsidTr="00D70C9E">
        <w:trPr>
          <w:trHeight w:val="1180"/>
        </w:trPr>
        <w:tc>
          <w:tcPr>
            <w:tcW w:w="4259" w:type="dxa"/>
            <w:shd w:val="clear" w:color="auto" w:fill="FFF2CC"/>
          </w:tcPr>
          <w:p w14:paraId="49E6B15C" w14:textId="77777777" w:rsidR="00D70C9E" w:rsidRPr="00FF091C" w:rsidRDefault="00D70C9E" w:rsidP="00D47ABF">
            <w:pPr>
              <w:rPr>
                <w:rFonts w:asciiTheme="majorHAnsi" w:hAnsiTheme="majorHAnsi" w:cstheme="majorHAnsi"/>
                <w:b/>
              </w:rPr>
            </w:pPr>
            <w:r w:rsidRPr="00FF091C">
              <w:rPr>
                <w:rFonts w:asciiTheme="majorHAnsi" w:hAnsiTheme="majorHAnsi" w:cstheme="majorHAnsi"/>
                <w:b/>
              </w:rPr>
              <w:t>Please give specific examples, one per row (including through set aside strategic research funds or partner funds)</w:t>
            </w:r>
          </w:p>
          <w:p w14:paraId="322EF56F" w14:textId="77777777" w:rsidR="00D70C9E" w:rsidRPr="00FF091C" w:rsidRDefault="00D70C9E" w:rsidP="00D47ABF">
            <w:pPr>
              <w:rPr>
                <w:rFonts w:asciiTheme="majorHAnsi" w:hAnsiTheme="majorHAnsi" w:cstheme="majorHAnsi"/>
                <w:b/>
              </w:rPr>
            </w:pPr>
          </w:p>
          <w:p w14:paraId="4E8A6316" w14:textId="77777777" w:rsidR="00D70C9E" w:rsidRPr="00FF091C" w:rsidRDefault="00D70C9E" w:rsidP="00D47ABF">
            <w:pPr>
              <w:rPr>
                <w:rFonts w:asciiTheme="majorHAnsi" w:hAnsiTheme="majorHAnsi" w:cstheme="majorHAnsi"/>
              </w:rPr>
            </w:pPr>
            <w:r w:rsidRPr="00FF091C">
              <w:rPr>
                <w:rFonts w:asciiTheme="majorHAnsi" w:hAnsiTheme="majorHAnsi" w:cstheme="majorHAnsi"/>
              </w:rPr>
              <w:t>Max 50 words</w:t>
            </w:r>
            <w:r>
              <w:rPr>
                <w:rFonts w:asciiTheme="majorHAnsi" w:hAnsiTheme="majorHAnsi" w:cstheme="majorHAnsi"/>
              </w:rPr>
              <w:t>-100 (maximum two entries per categories)</w:t>
            </w:r>
          </w:p>
        </w:tc>
        <w:tc>
          <w:tcPr>
            <w:tcW w:w="4950" w:type="dxa"/>
            <w:shd w:val="clear" w:color="auto" w:fill="FFF2CC"/>
          </w:tcPr>
          <w:p w14:paraId="2E0832F0" w14:textId="77777777" w:rsidR="00D70C9E" w:rsidRPr="00FF091C" w:rsidRDefault="00D70C9E" w:rsidP="00D47ABF">
            <w:pPr>
              <w:rPr>
                <w:rFonts w:asciiTheme="majorHAnsi" w:hAnsiTheme="majorHAnsi" w:cstheme="majorHAnsi"/>
                <w:b/>
                <w:sz w:val="20"/>
                <w:szCs w:val="20"/>
              </w:rPr>
            </w:pPr>
            <w:r w:rsidRPr="00FF091C">
              <w:rPr>
                <w:rFonts w:asciiTheme="majorHAnsi" w:hAnsiTheme="majorHAnsi" w:cstheme="majorHAnsi"/>
                <w:b/>
                <w:sz w:val="20"/>
                <w:szCs w:val="20"/>
              </w:rPr>
              <w:t xml:space="preserve">Select broad area of use of W1/2 from the categories below - (drop down) Select only one category. </w:t>
            </w:r>
          </w:p>
        </w:tc>
      </w:tr>
      <w:tr w:rsidR="00D70C9E" w:rsidRPr="00D625B1" w14:paraId="1905B973" w14:textId="77777777" w:rsidTr="00D70C9E">
        <w:trPr>
          <w:trHeight w:val="171"/>
        </w:trPr>
        <w:tc>
          <w:tcPr>
            <w:tcW w:w="4259" w:type="dxa"/>
            <w:vAlign w:val="center"/>
          </w:tcPr>
          <w:p w14:paraId="368B76DC" w14:textId="77777777" w:rsidR="00D70C9E" w:rsidRPr="00D625B1" w:rsidRDefault="00D70C9E" w:rsidP="00D47ABF">
            <w:pPr>
              <w:rPr>
                <w:rFonts w:asciiTheme="majorHAnsi" w:hAnsiTheme="majorHAnsi" w:cstheme="majorHAnsi"/>
                <w:sz w:val="22"/>
                <w:szCs w:val="22"/>
              </w:rPr>
            </w:pPr>
            <w:r w:rsidRPr="00D625B1">
              <w:rPr>
                <w:rFonts w:asciiTheme="majorHAnsi" w:hAnsiTheme="majorHAnsi" w:cstheme="majorHAnsi"/>
                <w:sz w:val="22"/>
                <w:szCs w:val="22"/>
              </w:rPr>
              <w:t>Strategic ex-ante nutrition impact evaluation was undertaken to identify the GLDC research options with the greatest potential for enhancing nutrition security</w:t>
            </w:r>
          </w:p>
        </w:tc>
        <w:tc>
          <w:tcPr>
            <w:tcW w:w="4950" w:type="dxa"/>
            <w:vAlign w:val="center"/>
          </w:tcPr>
          <w:p w14:paraId="1F5B9F94" w14:textId="77777777" w:rsidR="00D70C9E" w:rsidRPr="00D625B1" w:rsidRDefault="00D70C9E" w:rsidP="00D47ABF">
            <w:pPr>
              <w:rPr>
                <w:rFonts w:asciiTheme="majorHAnsi" w:hAnsiTheme="majorHAnsi" w:cstheme="majorHAnsi"/>
                <w:sz w:val="22"/>
                <w:szCs w:val="22"/>
              </w:rPr>
            </w:pPr>
            <w:r w:rsidRPr="00D625B1">
              <w:rPr>
                <w:rFonts w:asciiTheme="majorHAnsi" w:hAnsiTheme="majorHAnsi" w:cstheme="majorHAnsi"/>
                <w:sz w:val="22"/>
                <w:szCs w:val="22"/>
              </w:rPr>
              <w:t>Research</w:t>
            </w:r>
          </w:p>
        </w:tc>
      </w:tr>
      <w:tr w:rsidR="00D70C9E" w:rsidRPr="00D3417C" w14:paraId="28108A32" w14:textId="77777777" w:rsidTr="00D70C9E">
        <w:trPr>
          <w:trHeight w:val="171"/>
        </w:trPr>
        <w:tc>
          <w:tcPr>
            <w:tcW w:w="4259" w:type="dxa"/>
            <w:vAlign w:val="center"/>
          </w:tcPr>
          <w:p w14:paraId="0BA82B99" w14:textId="77777777" w:rsidR="00D70C9E" w:rsidRPr="00D3417C" w:rsidRDefault="00D70C9E" w:rsidP="00D47ABF">
            <w:pPr>
              <w:rPr>
                <w:rFonts w:asciiTheme="majorHAnsi" w:hAnsiTheme="majorHAnsi" w:cstheme="majorHAnsi"/>
                <w:sz w:val="22"/>
                <w:szCs w:val="22"/>
              </w:rPr>
            </w:pPr>
            <w:r w:rsidRPr="00D3417C">
              <w:rPr>
                <w:rFonts w:asciiTheme="majorHAnsi" w:hAnsiTheme="majorHAnsi" w:cstheme="majorHAnsi"/>
                <w:color w:val="000000"/>
                <w:sz w:val="22"/>
                <w:szCs w:val="22"/>
              </w:rPr>
              <w:t>Developing future climate scenarios data for GLDC mega environments for Asia and SSA</w:t>
            </w:r>
          </w:p>
        </w:tc>
        <w:tc>
          <w:tcPr>
            <w:tcW w:w="4950" w:type="dxa"/>
            <w:vAlign w:val="center"/>
          </w:tcPr>
          <w:p w14:paraId="4D9D569C" w14:textId="77777777" w:rsidR="00D70C9E" w:rsidRPr="00D3417C" w:rsidRDefault="00D70C9E" w:rsidP="00D47ABF">
            <w:pPr>
              <w:rPr>
                <w:rFonts w:asciiTheme="majorHAnsi" w:hAnsiTheme="majorHAnsi" w:cstheme="majorHAnsi"/>
                <w:sz w:val="22"/>
                <w:szCs w:val="22"/>
              </w:rPr>
            </w:pPr>
            <w:r w:rsidRPr="00D625B1">
              <w:rPr>
                <w:rFonts w:asciiTheme="majorHAnsi" w:hAnsiTheme="majorHAnsi" w:cstheme="majorHAnsi"/>
                <w:sz w:val="22"/>
                <w:szCs w:val="22"/>
              </w:rPr>
              <w:t>Research</w:t>
            </w:r>
          </w:p>
        </w:tc>
      </w:tr>
      <w:tr w:rsidR="00D70C9E" w:rsidRPr="00D625B1" w14:paraId="7EF8DE02" w14:textId="77777777" w:rsidTr="00D70C9E">
        <w:trPr>
          <w:trHeight w:val="171"/>
        </w:trPr>
        <w:tc>
          <w:tcPr>
            <w:tcW w:w="4259" w:type="dxa"/>
            <w:vAlign w:val="center"/>
          </w:tcPr>
          <w:p w14:paraId="1D926CBE" w14:textId="77777777" w:rsidR="00D70C9E" w:rsidRPr="00D625B1" w:rsidRDefault="00D70C9E" w:rsidP="00D47ABF">
            <w:pPr>
              <w:rPr>
                <w:rFonts w:asciiTheme="majorHAnsi" w:hAnsiTheme="majorHAnsi" w:cstheme="majorHAnsi"/>
                <w:sz w:val="22"/>
                <w:szCs w:val="22"/>
              </w:rPr>
            </w:pPr>
            <w:r w:rsidRPr="00D625B1">
              <w:rPr>
                <w:rFonts w:asciiTheme="majorHAnsi" w:hAnsiTheme="majorHAnsi" w:cstheme="majorHAnsi"/>
                <w:sz w:val="22"/>
                <w:szCs w:val="22"/>
              </w:rPr>
              <w:t>Making aspirations work for targeting and scaling agricultural innovations</w:t>
            </w:r>
          </w:p>
        </w:tc>
        <w:tc>
          <w:tcPr>
            <w:tcW w:w="4950" w:type="dxa"/>
          </w:tcPr>
          <w:p w14:paraId="156280EE" w14:textId="77777777" w:rsidR="00D70C9E" w:rsidRPr="00D625B1" w:rsidRDefault="00D70C9E" w:rsidP="00D47ABF">
            <w:pPr>
              <w:rPr>
                <w:rFonts w:asciiTheme="majorHAnsi" w:hAnsiTheme="majorHAnsi" w:cstheme="majorHAnsi"/>
                <w:sz w:val="22"/>
                <w:szCs w:val="22"/>
              </w:rPr>
            </w:pPr>
            <w:r w:rsidRPr="00F26EF3">
              <w:rPr>
                <w:rFonts w:asciiTheme="majorHAnsi" w:hAnsiTheme="majorHAnsi" w:cstheme="majorHAnsi"/>
                <w:sz w:val="22"/>
                <w:szCs w:val="22"/>
              </w:rPr>
              <w:t>Research</w:t>
            </w:r>
          </w:p>
        </w:tc>
      </w:tr>
      <w:tr w:rsidR="00D70C9E" w:rsidRPr="00D625B1" w14:paraId="6E8C415C" w14:textId="77777777" w:rsidTr="00D70C9E">
        <w:trPr>
          <w:trHeight w:val="171"/>
        </w:trPr>
        <w:tc>
          <w:tcPr>
            <w:tcW w:w="4259" w:type="dxa"/>
            <w:vAlign w:val="center"/>
          </w:tcPr>
          <w:p w14:paraId="2C69F1BB" w14:textId="77777777" w:rsidR="00D70C9E" w:rsidRPr="00D625B1" w:rsidRDefault="00D70C9E" w:rsidP="00D47ABF">
            <w:pPr>
              <w:rPr>
                <w:rFonts w:asciiTheme="majorHAnsi" w:hAnsiTheme="majorHAnsi" w:cstheme="majorHAnsi"/>
                <w:sz w:val="22"/>
                <w:szCs w:val="22"/>
              </w:rPr>
            </w:pPr>
            <w:r w:rsidRPr="00D625B1">
              <w:rPr>
                <w:rFonts w:asciiTheme="majorHAnsi" w:hAnsiTheme="majorHAnsi" w:cstheme="majorHAnsi"/>
                <w:sz w:val="22"/>
                <w:szCs w:val="22"/>
              </w:rPr>
              <w:t>Assessment of the potential impact of GLDC crops on urban food and nutrition security</w:t>
            </w:r>
          </w:p>
        </w:tc>
        <w:tc>
          <w:tcPr>
            <w:tcW w:w="4950" w:type="dxa"/>
          </w:tcPr>
          <w:p w14:paraId="776B6846" w14:textId="77777777" w:rsidR="00D70C9E" w:rsidRPr="00D625B1" w:rsidRDefault="00D70C9E" w:rsidP="00D47ABF">
            <w:pPr>
              <w:rPr>
                <w:rFonts w:asciiTheme="majorHAnsi" w:hAnsiTheme="majorHAnsi" w:cstheme="majorHAnsi"/>
                <w:sz w:val="22"/>
                <w:szCs w:val="22"/>
              </w:rPr>
            </w:pPr>
            <w:r w:rsidRPr="00F26EF3">
              <w:rPr>
                <w:rFonts w:asciiTheme="majorHAnsi" w:hAnsiTheme="majorHAnsi" w:cstheme="majorHAnsi"/>
                <w:sz w:val="22"/>
                <w:szCs w:val="22"/>
              </w:rPr>
              <w:t>Research</w:t>
            </w:r>
          </w:p>
        </w:tc>
      </w:tr>
      <w:tr w:rsidR="00D70C9E" w:rsidRPr="00D625B1" w14:paraId="3268FFDC" w14:textId="77777777" w:rsidTr="00D70C9E">
        <w:trPr>
          <w:trHeight w:val="171"/>
        </w:trPr>
        <w:tc>
          <w:tcPr>
            <w:tcW w:w="4259" w:type="dxa"/>
            <w:vAlign w:val="center"/>
          </w:tcPr>
          <w:p w14:paraId="15B4510C" w14:textId="77777777" w:rsidR="00D70C9E" w:rsidRPr="00D625B1" w:rsidRDefault="00D70C9E" w:rsidP="00D47ABF">
            <w:pPr>
              <w:rPr>
                <w:rFonts w:asciiTheme="majorHAnsi" w:hAnsiTheme="majorHAnsi" w:cstheme="majorHAnsi"/>
                <w:sz w:val="22"/>
                <w:szCs w:val="22"/>
              </w:rPr>
            </w:pPr>
            <w:r w:rsidRPr="00D625B1">
              <w:rPr>
                <w:rFonts w:asciiTheme="majorHAnsi" w:hAnsiTheme="majorHAnsi" w:cstheme="majorHAnsi"/>
                <w:sz w:val="22"/>
                <w:szCs w:val="22"/>
              </w:rPr>
              <w:t>Characterization of the youth in the drylands of Tanzania, Uganda and Ethiopia</w:t>
            </w:r>
          </w:p>
        </w:tc>
        <w:tc>
          <w:tcPr>
            <w:tcW w:w="4950" w:type="dxa"/>
          </w:tcPr>
          <w:p w14:paraId="4195FF1E" w14:textId="77777777" w:rsidR="00D70C9E" w:rsidRPr="00D625B1" w:rsidRDefault="00D70C9E" w:rsidP="00D47ABF">
            <w:pPr>
              <w:rPr>
                <w:rFonts w:asciiTheme="majorHAnsi" w:hAnsiTheme="majorHAnsi" w:cstheme="majorHAnsi"/>
                <w:sz w:val="22"/>
                <w:szCs w:val="22"/>
              </w:rPr>
            </w:pPr>
            <w:r w:rsidRPr="00F26EF3">
              <w:rPr>
                <w:rFonts w:asciiTheme="majorHAnsi" w:hAnsiTheme="majorHAnsi" w:cstheme="majorHAnsi"/>
                <w:sz w:val="22"/>
                <w:szCs w:val="22"/>
              </w:rPr>
              <w:t>Research</w:t>
            </w:r>
          </w:p>
        </w:tc>
      </w:tr>
      <w:tr w:rsidR="00D70C9E" w:rsidRPr="00D625B1" w14:paraId="65120971" w14:textId="77777777" w:rsidTr="00D70C9E">
        <w:trPr>
          <w:trHeight w:val="171"/>
        </w:trPr>
        <w:tc>
          <w:tcPr>
            <w:tcW w:w="4259" w:type="dxa"/>
            <w:vAlign w:val="center"/>
          </w:tcPr>
          <w:p w14:paraId="012C6C39" w14:textId="77777777" w:rsidR="00D70C9E" w:rsidRPr="00D625B1" w:rsidRDefault="00D70C9E" w:rsidP="00D47ABF">
            <w:pPr>
              <w:rPr>
                <w:rFonts w:asciiTheme="majorHAnsi" w:hAnsiTheme="majorHAnsi" w:cstheme="majorHAnsi"/>
                <w:sz w:val="22"/>
                <w:szCs w:val="22"/>
              </w:rPr>
            </w:pPr>
            <w:r w:rsidRPr="00D625B1">
              <w:rPr>
                <w:rFonts w:asciiTheme="majorHAnsi" w:hAnsiTheme="majorHAnsi" w:cstheme="majorHAnsi"/>
                <w:sz w:val="22"/>
                <w:szCs w:val="22"/>
              </w:rPr>
              <w:t>Integrated and multi-faceted impact assessment and learning strategy for GLDC.</w:t>
            </w:r>
          </w:p>
        </w:tc>
        <w:tc>
          <w:tcPr>
            <w:tcW w:w="4950" w:type="dxa"/>
          </w:tcPr>
          <w:p w14:paraId="20407D42" w14:textId="77777777" w:rsidR="00D70C9E" w:rsidRPr="00D625B1" w:rsidRDefault="00D70C9E" w:rsidP="00D47ABF">
            <w:pPr>
              <w:rPr>
                <w:rFonts w:asciiTheme="majorHAnsi" w:hAnsiTheme="majorHAnsi" w:cstheme="majorHAnsi"/>
                <w:sz w:val="22"/>
                <w:szCs w:val="22"/>
              </w:rPr>
            </w:pPr>
            <w:r w:rsidRPr="00F26EF3">
              <w:rPr>
                <w:rFonts w:asciiTheme="majorHAnsi" w:hAnsiTheme="majorHAnsi" w:cstheme="majorHAnsi"/>
                <w:sz w:val="22"/>
                <w:szCs w:val="22"/>
              </w:rPr>
              <w:t>Research</w:t>
            </w:r>
          </w:p>
        </w:tc>
      </w:tr>
    </w:tbl>
    <w:p w14:paraId="00012FCD" w14:textId="77777777" w:rsidR="00D70C9E" w:rsidRPr="00FF091C" w:rsidRDefault="00D70C9E" w:rsidP="00D70C9E">
      <w:pPr>
        <w:rPr>
          <w:rFonts w:asciiTheme="majorHAnsi" w:hAnsiTheme="majorHAnsi" w:cstheme="majorHAnsi"/>
        </w:rPr>
      </w:pPr>
    </w:p>
    <w:p w14:paraId="05E95612" w14:textId="77777777" w:rsidR="00D70C9E" w:rsidRDefault="00D70C9E"/>
    <w:sectPr w:rsidR="00D70C9E" w:rsidSect="006E40C8">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C3C06" w14:textId="77777777" w:rsidR="005345C3" w:rsidRDefault="005345C3">
      <w:r>
        <w:separator/>
      </w:r>
    </w:p>
  </w:endnote>
  <w:endnote w:type="continuationSeparator" w:id="0">
    <w:p w14:paraId="54EBA1C5" w14:textId="77777777" w:rsidR="005345C3" w:rsidRDefault="00534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0FB13" w14:textId="77777777" w:rsidR="006F638D" w:rsidRDefault="006E40C8" w:rsidP="00967AF7">
    <w:pPr>
      <w:pStyle w:val="Footer"/>
      <w:tabs>
        <w:tab w:val="clear" w:pos="4680"/>
        <w:tab w:val="clear" w:pos="9360"/>
        <w:tab w:val="left" w:pos="1848"/>
      </w:tabs>
      <w:jc w:val="center"/>
    </w:pPr>
    <w:r>
      <w:t xml:space="preserve">Page  </w:t>
    </w:r>
    <w:r>
      <w:fldChar w:fldCharType="begin"/>
    </w:r>
    <w:r>
      <w:instrText xml:space="preserve"> PAGE   \* MERGEFORMAT </w:instrText>
    </w:r>
    <w:r>
      <w:fldChar w:fldCharType="separate"/>
    </w:r>
    <w:r>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B0F78" w14:textId="77777777" w:rsidR="005345C3" w:rsidRDefault="005345C3">
      <w:r>
        <w:separator/>
      </w:r>
    </w:p>
  </w:footnote>
  <w:footnote w:type="continuationSeparator" w:id="0">
    <w:p w14:paraId="0CF0F92C" w14:textId="77777777" w:rsidR="005345C3" w:rsidRDefault="00534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8AE10" w14:textId="77777777" w:rsidR="006F638D" w:rsidRPr="00967AF7" w:rsidRDefault="005345C3" w:rsidP="00967A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24F63" w14:textId="77777777" w:rsidR="006F638D" w:rsidRDefault="005345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94EB3"/>
    <w:multiLevelType w:val="hybridMultilevel"/>
    <w:tmpl w:val="27006EB2"/>
    <w:lvl w:ilvl="0" w:tplc="A392B694">
      <w:start w:val="1"/>
      <w:numFmt w:val="decimal"/>
      <w:lvlText w:val="%1."/>
      <w:lvlJc w:val="left"/>
      <w:pPr>
        <w:tabs>
          <w:tab w:val="num" w:pos="360"/>
        </w:tabs>
        <w:ind w:left="360" w:hanging="360"/>
      </w:pPr>
      <w:rPr>
        <w:rFonts w:ascii="Calibri" w:hAnsi="Calibri" w:hint="default"/>
        <w:b w:val="0"/>
        <w:i w:val="0"/>
        <w:color w:val="auto"/>
        <w:sz w:val="24"/>
        <w:szCs w:val="24"/>
      </w:rPr>
    </w:lvl>
    <w:lvl w:ilvl="1" w:tplc="417214D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E083091"/>
    <w:multiLevelType w:val="multilevel"/>
    <w:tmpl w:val="EA50C0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0C8"/>
    <w:rsid w:val="00002B95"/>
    <w:rsid w:val="00012DB4"/>
    <w:rsid w:val="00062976"/>
    <w:rsid w:val="00064EE7"/>
    <w:rsid w:val="00092954"/>
    <w:rsid w:val="000B29FF"/>
    <w:rsid w:val="000E0818"/>
    <w:rsid w:val="000E25DA"/>
    <w:rsid w:val="000F1CF0"/>
    <w:rsid w:val="0011529B"/>
    <w:rsid w:val="00126EBB"/>
    <w:rsid w:val="00160F8E"/>
    <w:rsid w:val="00184479"/>
    <w:rsid w:val="001B57F5"/>
    <w:rsid w:val="001B59E6"/>
    <w:rsid w:val="001B7CCB"/>
    <w:rsid w:val="002028B1"/>
    <w:rsid w:val="00262B2F"/>
    <w:rsid w:val="00286BFC"/>
    <w:rsid w:val="002B0A39"/>
    <w:rsid w:val="002B3C08"/>
    <w:rsid w:val="002B7917"/>
    <w:rsid w:val="002C7E30"/>
    <w:rsid w:val="0031425D"/>
    <w:rsid w:val="00345FD6"/>
    <w:rsid w:val="00363BBC"/>
    <w:rsid w:val="00374689"/>
    <w:rsid w:val="00374D04"/>
    <w:rsid w:val="0039146C"/>
    <w:rsid w:val="00392CE1"/>
    <w:rsid w:val="00402B8E"/>
    <w:rsid w:val="00413768"/>
    <w:rsid w:val="00430F73"/>
    <w:rsid w:val="00465458"/>
    <w:rsid w:val="00484AAC"/>
    <w:rsid w:val="004B2A2D"/>
    <w:rsid w:val="004F351A"/>
    <w:rsid w:val="0052014F"/>
    <w:rsid w:val="00532AE4"/>
    <w:rsid w:val="005345C3"/>
    <w:rsid w:val="005C0ABE"/>
    <w:rsid w:val="0063014D"/>
    <w:rsid w:val="00633AA7"/>
    <w:rsid w:val="00646B5E"/>
    <w:rsid w:val="00647B77"/>
    <w:rsid w:val="00656B64"/>
    <w:rsid w:val="0067740D"/>
    <w:rsid w:val="006B5D0F"/>
    <w:rsid w:val="006E40C8"/>
    <w:rsid w:val="006F479E"/>
    <w:rsid w:val="0075260B"/>
    <w:rsid w:val="0078309E"/>
    <w:rsid w:val="00785218"/>
    <w:rsid w:val="007C1FDA"/>
    <w:rsid w:val="007C612E"/>
    <w:rsid w:val="007D1FDA"/>
    <w:rsid w:val="007E1FD9"/>
    <w:rsid w:val="008255F0"/>
    <w:rsid w:val="00837FC9"/>
    <w:rsid w:val="00855E6F"/>
    <w:rsid w:val="008C33AC"/>
    <w:rsid w:val="008D3289"/>
    <w:rsid w:val="008F1361"/>
    <w:rsid w:val="008F68FF"/>
    <w:rsid w:val="009506A6"/>
    <w:rsid w:val="00955CDD"/>
    <w:rsid w:val="009959A6"/>
    <w:rsid w:val="00A04227"/>
    <w:rsid w:val="00A3515A"/>
    <w:rsid w:val="00AB4CF1"/>
    <w:rsid w:val="00AF7AFA"/>
    <w:rsid w:val="00B029EE"/>
    <w:rsid w:val="00B47B18"/>
    <w:rsid w:val="00B72967"/>
    <w:rsid w:val="00B92662"/>
    <w:rsid w:val="00B92971"/>
    <w:rsid w:val="00BA16A8"/>
    <w:rsid w:val="00BF18C2"/>
    <w:rsid w:val="00BF2FBF"/>
    <w:rsid w:val="00BF72FE"/>
    <w:rsid w:val="00C25FC0"/>
    <w:rsid w:val="00D07A09"/>
    <w:rsid w:val="00D215B7"/>
    <w:rsid w:val="00D249F6"/>
    <w:rsid w:val="00D25385"/>
    <w:rsid w:val="00D64A4C"/>
    <w:rsid w:val="00D70C9E"/>
    <w:rsid w:val="00DA4E83"/>
    <w:rsid w:val="00DC4B6D"/>
    <w:rsid w:val="00DC6810"/>
    <w:rsid w:val="00DD50F4"/>
    <w:rsid w:val="00E07C87"/>
    <w:rsid w:val="00E2645F"/>
    <w:rsid w:val="00E362DD"/>
    <w:rsid w:val="00E47888"/>
    <w:rsid w:val="00E57B59"/>
    <w:rsid w:val="00E63EF4"/>
    <w:rsid w:val="00E67649"/>
    <w:rsid w:val="00E72DEF"/>
    <w:rsid w:val="00E920E9"/>
    <w:rsid w:val="00ED07C1"/>
    <w:rsid w:val="00ED22A9"/>
    <w:rsid w:val="00ED643F"/>
    <w:rsid w:val="00F345DC"/>
    <w:rsid w:val="00F443B8"/>
    <w:rsid w:val="00F50CB5"/>
    <w:rsid w:val="00FA3638"/>
    <w:rsid w:val="00FA5E6B"/>
    <w:rsid w:val="00FC4C41"/>
    <w:rsid w:val="00FD2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ED0BA"/>
  <w15:chartTrackingRefBased/>
  <w15:docId w15:val="{C9711B42-17FA-5449-A2B2-BC922D4A3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E40C8"/>
    <w:rPr>
      <w:rFonts w:ascii="Times New Roman" w:eastAsia="Times New Roman" w:hAnsi="Times New Roman" w:cs="Times New Roman"/>
    </w:rPr>
  </w:style>
  <w:style w:type="paragraph" w:styleId="Heading1">
    <w:name w:val="heading 1"/>
    <w:basedOn w:val="Normal"/>
    <w:next w:val="Normal"/>
    <w:link w:val="Heading1Char"/>
    <w:uiPriority w:val="9"/>
    <w:qFormat/>
    <w:rsid w:val="006E40C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3515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E40C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0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E40C8"/>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6E40C8"/>
    <w:pPr>
      <w:tabs>
        <w:tab w:val="center" w:pos="4680"/>
        <w:tab w:val="right" w:pos="9360"/>
      </w:tabs>
    </w:pPr>
  </w:style>
  <w:style w:type="character" w:customStyle="1" w:styleId="HeaderChar">
    <w:name w:val="Header Char"/>
    <w:basedOn w:val="DefaultParagraphFont"/>
    <w:link w:val="Header"/>
    <w:uiPriority w:val="99"/>
    <w:rsid w:val="006E40C8"/>
    <w:rPr>
      <w:rFonts w:ascii="Times New Roman" w:eastAsia="Times New Roman" w:hAnsi="Times New Roman" w:cs="Times New Roman"/>
    </w:rPr>
  </w:style>
  <w:style w:type="paragraph" w:styleId="Footer">
    <w:name w:val="footer"/>
    <w:basedOn w:val="Normal"/>
    <w:link w:val="FooterChar"/>
    <w:uiPriority w:val="99"/>
    <w:unhideWhenUsed/>
    <w:rsid w:val="006E40C8"/>
    <w:pPr>
      <w:tabs>
        <w:tab w:val="center" w:pos="4680"/>
        <w:tab w:val="right" w:pos="9360"/>
      </w:tabs>
    </w:pPr>
  </w:style>
  <w:style w:type="character" w:customStyle="1" w:styleId="FooterChar">
    <w:name w:val="Footer Char"/>
    <w:basedOn w:val="DefaultParagraphFont"/>
    <w:link w:val="Footer"/>
    <w:uiPriority w:val="99"/>
    <w:rsid w:val="006E40C8"/>
    <w:rPr>
      <w:rFonts w:ascii="Times New Roman" w:eastAsia="Times New Roman" w:hAnsi="Times New Roman" w:cs="Times New Roman"/>
    </w:rPr>
  </w:style>
  <w:style w:type="table" w:styleId="TableGrid">
    <w:name w:val="Table Grid"/>
    <w:basedOn w:val="TableNormal"/>
    <w:uiPriority w:val="39"/>
    <w:rsid w:val="006E40C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40C8"/>
    <w:rPr>
      <w:color w:val="0563C1" w:themeColor="hyperlink"/>
      <w:u w:val="single"/>
    </w:rPr>
  </w:style>
  <w:style w:type="paragraph" w:styleId="NoSpacing">
    <w:name w:val="No Spacing"/>
    <w:uiPriority w:val="1"/>
    <w:qFormat/>
    <w:rsid w:val="006E40C8"/>
    <w:rPr>
      <w:sz w:val="22"/>
      <w:szCs w:val="22"/>
    </w:rPr>
  </w:style>
  <w:style w:type="paragraph" w:styleId="BalloonText">
    <w:name w:val="Balloon Text"/>
    <w:basedOn w:val="Normal"/>
    <w:link w:val="BalloonTextChar"/>
    <w:uiPriority w:val="99"/>
    <w:semiHidden/>
    <w:unhideWhenUsed/>
    <w:rsid w:val="00A351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15A"/>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A3515A"/>
    <w:rPr>
      <w:rFonts w:asciiTheme="majorHAnsi" w:eastAsiaTheme="majorEastAsia" w:hAnsiTheme="majorHAnsi" w:cstheme="majorBidi"/>
      <w:color w:val="2F5496" w:themeColor="accent1" w:themeShade="BF"/>
      <w:sz w:val="26"/>
      <w:szCs w:val="26"/>
    </w:rPr>
  </w:style>
  <w:style w:type="paragraph" w:styleId="PlainText">
    <w:name w:val="Plain Text"/>
    <w:basedOn w:val="Normal"/>
    <w:link w:val="PlainTextChar"/>
    <w:uiPriority w:val="99"/>
    <w:unhideWhenUsed/>
    <w:rsid w:val="00656B64"/>
    <w:rPr>
      <w:rFonts w:ascii="Calibri" w:eastAsia="Calibri" w:hAnsi="Calibri"/>
      <w:sz w:val="22"/>
      <w:szCs w:val="21"/>
    </w:rPr>
  </w:style>
  <w:style w:type="character" w:customStyle="1" w:styleId="PlainTextChar">
    <w:name w:val="Plain Text Char"/>
    <w:basedOn w:val="DefaultParagraphFont"/>
    <w:link w:val="PlainText"/>
    <w:uiPriority w:val="99"/>
    <w:rsid w:val="00656B64"/>
    <w:rPr>
      <w:rFonts w:ascii="Calibri" w:eastAsia="Calibri" w:hAnsi="Calibri" w:cs="Times New Roman"/>
      <w:sz w:val="22"/>
      <w:szCs w:val="21"/>
    </w:rPr>
  </w:style>
  <w:style w:type="character" w:styleId="UnresolvedMention">
    <w:name w:val="Unresolved Mention"/>
    <w:basedOn w:val="DefaultParagraphFont"/>
    <w:uiPriority w:val="99"/>
    <w:semiHidden/>
    <w:unhideWhenUsed/>
    <w:rsid w:val="00656B64"/>
    <w:rPr>
      <w:color w:val="605E5C"/>
      <w:shd w:val="clear" w:color="auto" w:fill="E1DFDD"/>
    </w:rPr>
  </w:style>
  <w:style w:type="character" w:styleId="FollowedHyperlink">
    <w:name w:val="FollowedHyperlink"/>
    <w:basedOn w:val="DefaultParagraphFont"/>
    <w:uiPriority w:val="99"/>
    <w:semiHidden/>
    <w:unhideWhenUsed/>
    <w:rsid w:val="00E07C87"/>
    <w:rPr>
      <w:color w:val="954F72" w:themeColor="followedHyperlink"/>
      <w:u w:val="single"/>
    </w:rPr>
  </w:style>
  <w:style w:type="paragraph" w:styleId="BodyText">
    <w:name w:val="Body Text"/>
    <w:basedOn w:val="Normal"/>
    <w:link w:val="BodyTextChar"/>
    <w:uiPriority w:val="1"/>
    <w:unhideWhenUsed/>
    <w:qFormat/>
    <w:rsid w:val="007D1FDA"/>
    <w:pPr>
      <w:widowControl w:val="0"/>
      <w:autoSpaceDE w:val="0"/>
      <w:autoSpaceDN w:val="0"/>
    </w:pPr>
    <w:rPr>
      <w:rFonts w:ascii="Calibri" w:eastAsia="Calibri" w:hAnsi="Calibri" w:cs="Calibri"/>
      <w:sz w:val="22"/>
      <w:szCs w:val="22"/>
      <w:lang w:val="en-GB" w:eastAsia="en-GB" w:bidi="en-GB"/>
    </w:rPr>
  </w:style>
  <w:style w:type="character" w:customStyle="1" w:styleId="BodyTextChar">
    <w:name w:val="Body Text Char"/>
    <w:basedOn w:val="DefaultParagraphFont"/>
    <w:link w:val="BodyText"/>
    <w:uiPriority w:val="1"/>
    <w:rsid w:val="007D1FDA"/>
    <w:rPr>
      <w:rFonts w:ascii="Calibri" w:eastAsia="Calibri" w:hAnsi="Calibri" w:cs="Calibri"/>
      <w:sz w:val="22"/>
      <w:szCs w:val="22"/>
      <w:lang w:val="en-GB" w:eastAsia="en-GB" w:bidi="en-GB"/>
    </w:rPr>
  </w:style>
  <w:style w:type="paragraph" w:styleId="NormalWeb">
    <w:name w:val="Normal (Web)"/>
    <w:basedOn w:val="Normal"/>
    <w:uiPriority w:val="99"/>
    <w:unhideWhenUsed/>
    <w:rsid w:val="002B791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06331">
      <w:bodyDiv w:val="1"/>
      <w:marLeft w:val="0"/>
      <w:marRight w:val="0"/>
      <w:marTop w:val="0"/>
      <w:marBottom w:val="0"/>
      <w:divBdr>
        <w:top w:val="none" w:sz="0" w:space="0" w:color="auto"/>
        <w:left w:val="none" w:sz="0" w:space="0" w:color="auto"/>
        <w:bottom w:val="none" w:sz="0" w:space="0" w:color="auto"/>
        <w:right w:val="none" w:sz="0" w:space="0" w:color="auto"/>
      </w:divBdr>
    </w:div>
    <w:div w:id="83038998">
      <w:bodyDiv w:val="1"/>
      <w:marLeft w:val="0"/>
      <w:marRight w:val="0"/>
      <w:marTop w:val="0"/>
      <w:marBottom w:val="0"/>
      <w:divBdr>
        <w:top w:val="none" w:sz="0" w:space="0" w:color="auto"/>
        <w:left w:val="none" w:sz="0" w:space="0" w:color="auto"/>
        <w:bottom w:val="none" w:sz="0" w:space="0" w:color="auto"/>
        <w:right w:val="none" w:sz="0" w:space="0" w:color="auto"/>
      </w:divBdr>
    </w:div>
    <w:div w:id="153374662">
      <w:bodyDiv w:val="1"/>
      <w:marLeft w:val="0"/>
      <w:marRight w:val="0"/>
      <w:marTop w:val="0"/>
      <w:marBottom w:val="0"/>
      <w:divBdr>
        <w:top w:val="none" w:sz="0" w:space="0" w:color="auto"/>
        <w:left w:val="none" w:sz="0" w:space="0" w:color="auto"/>
        <w:bottom w:val="none" w:sz="0" w:space="0" w:color="auto"/>
        <w:right w:val="none" w:sz="0" w:space="0" w:color="auto"/>
      </w:divBdr>
    </w:div>
    <w:div w:id="182548889">
      <w:bodyDiv w:val="1"/>
      <w:marLeft w:val="0"/>
      <w:marRight w:val="0"/>
      <w:marTop w:val="0"/>
      <w:marBottom w:val="0"/>
      <w:divBdr>
        <w:top w:val="none" w:sz="0" w:space="0" w:color="auto"/>
        <w:left w:val="none" w:sz="0" w:space="0" w:color="auto"/>
        <w:bottom w:val="none" w:sz="0" w:space="0" w:color="auto"/>
        <w:right w:val="none" w:sz="0" w:space="0" w:color="auto"/>
      </w:divBdr>
    </w:div>
    <w:div w:id="642933417">
      <w:bodyDiv w:val="1"/>
      <w:marLeft w:val="0"/>
      <w:marRight w:val="0"/>
      <w:marTop w:val="0"/>
      <w:marBottom w:val="0"/>
      <w:divBdr>
        <w:top w:val="none" w:sz="0" w:space="0" w:color="auto"/>
        <w:left w:val="none" w:sz="0" w:space="0" w:color="auto"/>
        <w:bottom w:val="none" w:sz="0" w:space="0" w:color="auto"/>
        <w:right w:val="none" w:sz="0" w:space="0" w:color="auto"/>
      </w:divBdr>
    </w:div>
    <w:div w:id="656571252">
      <w:bodyDiv w:val="1"/>
      <w:marLeft w:val="0"/>
      <w:marRight w:val="0"/>
      <w:marTop w:val="0"/>
      <w:marBottom w:val="0"/>
      <w:divBdr>
        <w:top w:val="none" w:sz="0" w:space="0" w:color="auto"/>
        <w:left w:val="none" w:sz="0" w:space="0" w:color="auto"/>
        <w:bottom w:val="none" w:sz="0" w:space="0" w:color="auto"/>
        <w:right w:val="none" w:sz="0" w:space="0" w:color="auto"/>
      </w:divBdr>
    </w:div>
    <w:div w:id="789200039">
      <w:bodyDiv w:val="1"/>
      <w:marLeft w:val="0"/>
      <w:marRight w:val="0"/>
      <w:marTop w:val="0"/>
      <w:marBottom w:val="0"/>
      <w:divBdr>
        <w:top w:val="none" w:sz="0" w:space="0" w:color="auto"/>
        <w:left w:val="none" w:sz="0" w:space="0" w:color="auto"/>
        <w:bottom w:val="none" w:sz="0" w:space="0" w:color="auto"/>
        <w:right w:val="none" w:sz="0" w:space="0" w:color="auto"/>
      </w:divBdr>
    </w:div>
    <w:div w:id="1472287806">
      <w:bodyDiv w:val="1"/>
      <w:marLeft w:val="0"/>
      <w:marRight w:val="0"/>
      <w:marTop w:val="0"/>
      <w:marBottom w:val="0"/>
      <w:divBdr>
        <w:top w:val="none" w:sz="0" w:space="0" w:color="auto"/>
        <w:left w:val="none" w:sz="0" w:space="0" w:color="auto"/>
        <w:bottom w:val="none" w:sz="0" w:space="0" w:color="auto"/>
        <w:right w:val="none" w:sz="0" w:space="0" w:color="auto"/>
      </w:divBdr>
    </w:div>
    <w:div w:id="1804427243">
      <w:bodyDiv w:val="1"/>
      <w:marLeft w:val="0"/>
      <w:marRight w:val="0"/>
      <w:marTop w:val="0"/>
      <w:marBottom w:val="0"/>
      <w:divBdr>
        <w:top w:val="none" w:sz="0" w:space="0" w:color="auto"/>
        <w:left w:val="none" w:sz="0" w:space="0" w:color="auto"/>
        <w:bottom w:val="none" w:sz="0" w:space="0" w:color="auto"/>
        <w:right w:val="none" w:sz="0" w:space="0" w:color="auto"/>
      </w:divBdr>
    </w:div>
    <w:div w:id="204578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atagriculture.org" TargetMode="External"/><Relationship Id="rId13" Type="http://schemas.openxmlformats.org/officeDocument/2006/relationships/hyperlink" Target="https://hdl.handle.net/20.500.11766/10058" TargetMode="External"/><Relationship Id="rId18" Type="http://schemas.openxmlformats.org/officeDocument/2006/relationships/hyperlink" Target="https://doi.org/10.1080/14735903.2018.1559007" TargetMode="External"/><Relationship Id="rId26" Type="http://schemas.openxmlformats.org/officeDocument/2006/relationships/hyperlink" Target="https://hdl.handle.net/20.500.11766/10592" TargetMode="External"/><Relationship Id="rId39" Type="http://schemas.openxmlformats.org/officeDocument/2006/relationships/hyperlink" Target="https://drive.google.com/file/d/1GYLsseeZOOXF9zXNtpUtE1xeh2gx3Vw2/view" TargetMode="External"/><Relationship Id="rId3" Type="http://schemas.openxmlformats.org/officeDocument/2006/relationships/settings" Target="settings.xml"/><Relationship Id="rId21" Type="http://schemas.openxmlformats.org/officeDocument/2006/relationships/footer" Target="footer1.xml"/><Relationship Id="rId34" Type="http://schemas.openxmlformats.org/officeDocument/2006/relationships/hyperlink" Target="https://doi.org/10.1111/1477-9552.12331" TargetMode="External"/><Relationship Id="rId7" Type="http://schemas.openxmlformats.org/officeDocument/2006/relationships/hyperlink" Target="https://gender.cgiar.org/webinar-youth-dryland/" TargetMode="External"/><Relationship Id="rId12" Type="http://schemas.openxmlformats.org/officeDocument/2006/relationships/hyperlink" Target="http://news.trust.org/item/20191101102503-vcwm8/" TargetMode="External"/><Relationship Id="rId17" Type="http://schemas.openxmlformats.org/officeDocument/2006/relationships/hyperlink" Target="https://doi.org/10.1016/j.worlddev.2019.104631" TargetMode="External"/><Relationship Id="rId25" Type="http://schemas.openxmlformats.org/officeDocument/2006/relationships/hyperlink" Target="https://mel.cgiar.org/reporting/download/report_file_id/18036" TargetMode="External"/><Relationship Id="rId33" Type="http://schemas.openxmlformats.org/officeDocument/2006/relationships/hyperlink" Target="https://www.cgiar.org/wp/wp-content/uploads/2018/10/CGIAR-2017-Performance-Report-ANNEXES.pdf" TargetMode="External"/><Relationship Id="rId38" Type="http://schemas.openxmlformats.org/officeDocument/2006/relationships/hyperlink" Target="https://hdl.handle.net/20.500.11766/9784" TargetMode="External"/><Relationship Id="rId2" Type="http://schemas.openxmlformats.org/officeDocument/2006/relationships/styles" Target="styles.xml"/><Relationship Id="rId16" Type="http://schemas.openxmlformats.org/officeDocument/2006/relationships/hyperlink" Target="https://doi.org/10.1108/IJCCSM-01-2018-0007" TargetMode="External"/><Relationship Id="rId20" Type="http://schemas.openxmlformats.org/officeDocument/2006/relationships/header" Target="header1.xml"/><Relationship Id="rId29" Type="http://schemas.openxmlformats.org/officeDocument/2006/relationships/hyperlink" Target="https://theconversation.com/can-african-smallholders-farm-themselves-out-of-poverty-126692"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econversation.com/can-african-smallholders-farm-themselves-out-of-poverty-126692" TargetMode="External"/><Relationship Id="rId24" Type="http://schemas.openxmlformats.org/officeDocument/2006/relationships/hyperlink" Target="https://hdl.handle.net/20.500.11766/10874" TargetMode="External"/><Relationship Id="rId32" Type="http://schemas.openxmlformats.org/officeDocument/2006/relationships/hyperlink" Target="https://hdl.handle.net/20.500.11766/10867" TargetMode="External"/><Relationship Id="rId37" Type="http://schemas.openxmlformats.org/officeDocument/2006/relationships/hyperlink" Target="https://doi.org/10.1016/j.worlddev.2019.104631"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016/j.worlddev.2019.05.027" TargetMode="External"/><Relationship Id="rId23" Type="http://schemas.openxmlformats.org/officeDocument/2006/relationships/hyperlink" Target="https://hdl.handle.net/20.500.11766/9469" TargetMode="External"/><Relationship Id="rId28" Type="http://schemas.openxmlformats.org/officeDocument/2006/relationships/hyperlink" Target="https://doi.org/10.1177%2F0030727019888513" TargetMode="External"/><Relationship Id="rId36" Type="http://schemas.openxmlformats.org/officeDocument/2006/relationships/hyperlink" Target="https://doi.org/10.1111/1477-9552.12331" TargetMode="External"/><Relationship Id="rId10" Type="http://schemas.openxmlformats.org/officeDocument/2006/relationships/hyperlink" Target="https://doi.org/10.1177%2F0030727019888513" TargetMode="External"/><Relationship Id="rId19" Type="http://schemas.openxmlformats.org/officeDocument/2006/relationships/hyperlink" Target="http://worldagroforestry.org/blog/2020/01/08/diet-crisis-africas-low-income-urban-zones-transition-nutritious-foods-possible" TargetMode="External"/><Relationship Id="rId31" Type="http://schemas.openxmlformats.org/officeDocument/2006/relationships/hyperlink" Target="https://hdl.handle.net/20.500.11766/9411" TargetMode="External"/><Relationship Id="rId4" Type="http://schemas.openxmlformats.org/officeDocument/2006/relationships/webSettings" Target="webSettings.xml"/><Relationship Id="rId9" Type="http://schemas.openxmlformats.org/officeDocument/2006/relationships/hyperlink" Target="https://hdl.handle.net/20.500.11766/9784" TargetMode="External"/><Relationship Id="rId14" Type="http://schemas.openxmlformats.org/officeDocument/2006/relationships/hyperlink" Target="https://doi.org/10.1111/1477-9552.12331" TargetMode="External"/><Relationship Id="rId22" Type="http://schemas.openxmlformats.org/officeDocument/2006/relationships/header" Target="header2.xml"/><Relationship Id="rId27" Type="http://schemas.openxmlformats.org/officeDocument/2006/relationships/hyperlink" Target="https://hdl.handle.net/20.500.11766/10058" TargetMode="External"/><Relationship Id="rId30" Type="http://schemas.openxmlformats.org/officeDocument/2006/relationships/hyperlink" Target="https://hdl.handle.net/20.500.11766/9408" TargetMode="External"/><Relationship Id="rId35" Type="http://schemas.openxmlformats.org/officeDocument/2006/relationships/hyperlink" Target="https://doi.org/10.1016/j.worlddev.2019.1046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1590</TotalTime>
  <Pages>12</Pages>
  <Words>4747</Words>
  <Characters>27063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Bonaiuti, Enrico (ICARDA)</dc:creator>
  <cp:keywords/>
  <dc:description/>
  <cp:lastModifiedBy>Alene, Arega (IITA)</cp:lastModifiedBy>
  <cp:revision>70</cp:revision>
  <dcterms:created xsi:type="dcterms:W3CDTF">2020-02-28T13:06:00Z</dcterms:created>
  <dcterms:modified xsi:type="dcterms:W3CDTF">2020-03-07T07:47:00Z</dcterms:modified>
</cp:coreProperties>
</file>