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78EB" w14:textId="1340516F" w:rsidR="00DD2B81" w:rsidRPr="00D81B2C" w:rsidRDefault="00DD2B81" w:rsidP="00DD2B81">
      <w:pPr>
        <w:pStyle w:val="Heading1"/>
        <w:jc w:val="left"/>
        <w:rPr>
          <w:color w:val="00B050"/>
        </w:rPr>
      </w:pPr>
      <w:r w:rsidRPr="00D81B2C">
        <w:rPr>
          <w:color w:val="00B050"/>
        </w:rPr>
        <w:t xml:space="preserve">CRP-GLDC 2020 </w:t>
      </w:r>
      <w:r w:rsidR="007A34AA">
        <w:rPr>
          <w:color w:val="00B050"/>
        </w:rPr>
        <w:t>CoA</w:t>
      </w:r>
      <w:r w:rsidRPr="00D81B2C">
        <w:rPr>
          <w:color w:val="00B050"/>
        </w:rPr>
        <w:t>-level REPORTING Template</w:t>
      </w:r>
    </w:p>
    <w:p w14:paraId="176236F4" w14:textId="5DE4172C" w:rsidR="007A34AA" w:rsidRPr="007A34AA" w:rsidRDefault="007A34AA" w:rsidP="007A34AA">
      <w:r>
        <w:t xml:space="preserve">The 2020 Cluster Annual Report provides a synthesis of main progress and achievements in implementing the annual Plan of Work. When populating the narratives and tables sections, please carefully consider the </w:t>
      </w:r>
      <w:hyperlink r:id="rId8" w:history="1">
        <w:r w:rsidRPr="00B836F7">
          <w:rPr>
            <w:rStyle w:val="Hyperlink"/>
          </w:rPr>
          <w:t>2020 POWB</w:t>
        </w:r>
      </w:hyperlink>
      <w:r>
        <w:t xml:space="preserve">, and where relevant, </w:t>
      </w:r>
      <w:r w:rsidRPr="00B836F7">
        <w:t xml:space="preserve">highlight key </w:t>
      </w:r>
      <w:r>
        <w:t>progress</w:t>
      </w:r>
      <w:r w:rsidRPr="00B836F7">
        <w:t xml:space="preserve"> </w:t>
      </w:r>
      <w:r>
        <w:t>around FP to FP collaboration,</w:t>
      </w:r>
      <w:r w:rsidRPr="00B836F7">
        <w:t xml:space="preserve"> </w:t>
      </w:r>
      <w:r>
        <w:t>gender &amp; youth</w:t>
      </w:r>
      <w:r w:rsidRPr="00B836F7">
        <w:t>, capacity development</w:t>
      </w:r>
      <w:r>
        <w:t>, markets and partnerships in agribusiness, and climate change.</w:t>
      </w:r>
    </w:p>
    <w:p w14:paraId="5A59B37B" w14:textId="12FD3836" w:rsidR="00DD2B81" w:rsidRPr="00FF6D4B" w:rsidRDefault="00DD2B81" w:rsidP="00DD2B81">
      <w:pPr>
        <w:pStyle w:val="Heading2"/>
        <w:rPr>
          <w:b/>
          <w:bCs/>
          <w:color w:val="00B050"/>
        </w:rPr>
      </w:pPr>
      <w:r w:rsidRPr="00FF6D4B">
        <w:rPr>
          <w:b/>
          <w:bCs/>
          <w:color w:val="00B050"/>
        </w:rPr>
        <w:t>Part A: NARRATIVE SECTION</w:t>
      </w:r>
    </w:p>
    <w:p w14:paraId="7DBD8A9F" w14:textId="4FBA1CC2" w:rsidR="00DD2B81" w:rsidRDefault="00DD2B81" w:rsidP="00DD2B81">
      <w:pPr>
        <w:spacing w:after="0" w:line="240" w:lineRule="auto"/>
        <w:contextualSpacing/>
      </w:pPr>
      <w:r>
        <w:t>The narrative section should tell a clear story for a non-specialist reader with no prior knowledge of the CRP. Please avoid long lists of diverse achievements – instead, make reference to the Tables</w:t>
      </w:r>
      <w:r w:rsidR="006B5E8A">
        <w:t>, and i</w:t>
      </w:r>
      <w:r>
        <w:t>f possible, complete the Tables first, before compiling the narrative.</w:t>
      </w:r>
    </w:p>
    <w:p w14:paraId="6B7C0446" w14:textId="77777777" w:rsidR="00DD2B81" w:rsidRDefault="00DD2B81" w:rsidP="00DD2B81">
      <w:pPr>
        <w:spacing w:after="0" w:line="240" w:lineRule="auto"/>
        <w:contextualSpacing/>
      </w:pPr>
    </w:p>
    <w:p w14:paraId="0FBCDDDB" w14:textId="77777777" w:rsidR="00DD2B81" w:rsidRDefault="00DD2B81" w:rsidP="00DD2B81">
      <w:pPr>
        <w:spacing w:after="0" w:line="240" w:lineRule="auto"/>
        <w:contextualSpacing/>
      </w:pPr>
      <w:r>
        <w:t>We recognize that there is potential repetition of some information between the general sections at the front and specific sections such as gender, efficiency, capacity development etc.</w:t>
      </w:r>
    </w:p>
    <w:p w14:paraId="5B97C7BD" w14:textId="6E2F734B" w:rsidR="00DD2B81" w:rsidRDefault="00DD2B81" w:rsidP="00DD2B81">
      <w:pPr>
        <w:spacing w:after="0" w:line="240" w:lineRule="auto"/>
        <w:contextualSpacing/>
      </w:pPr>
      <w:r>
        <w:t xml:space="preserve">The reason for having the specific sections is the way the System Organization uses this information: it is much easier for us to pull out relevant information and specific examples for a table from a specific section (e.g. on </w:t>
      </w:r>
      <w:proofErr w:type="spellStart"/>
      <w:r>
        <w:t>capdev</w:t>
      </w:r>
      <w:proofErr w:type="spellEnd"/>
      <w:r>
        <w:t>)</w:t>
      </w:r>
      <w:r w:rsidR="006B5E8A">
        <w:t>.</w:t>
      </w:r>
    </w:p>
    <w:p w14:paraId="0A59DD59" w14:textId="77777777" w:rsidR="00DD2B81" w:rsidRDefault="00DD2B81" w:rsidP="00DD2B81">
      <w:pPr>
        <w:spacing w:after="0" w:line="240" w:lineRule="auto"/>
        <w:contextualSpacing/>
      </w:pPr>
    </w:p>
    <w:p w14:paraId="68D68BCD" w14:textId="3AE5698E" w:rsidR="00DD2B81" w:rsidRPr="003C32DF" w:rsidRDefault="00DD2B81" w:rsidP="00DD2B81">
      <w:pPr>
        <w:spacing w:after="0" w:line="240" w:lineRule="auto"/>
        <w:contextualSpacing/>
      </w:pPr>
      <w:r w:rsidRPr="00D03C61">
        <w:t>Please review all the sections first and allocate your narrative information accordingly.</w:t>
      </w:r>
      <w:r w:rsidR="00430A54" w:rsidRPr="00D03C61">
        <w:t xml:space="preserve"> </w:t>
      </w:r>
      <w:r w:rsidR="001B0CD6" w:rsidRPr="00D03C61">
        <w:t xml:space="preserve">Please spell out all acronyms in the tables, and the first time in the narrative section. </w:t>
      </w:r>
      <w:r w:rsidR="006B5E8A">
        <w:t>A “GUIDANCE” word flanks section titles (where relevant), which is hyperlinked to the guide in the annex of this template.</w:t>
      </w:r>
    </w:p>
    <w:p w14:paraId="6E4EDE36" w14:textId="46BC0318" w:rsidR="00DD2B81" w:rsidRDefault="00DD2B81" w:rsidP="00DD2B81">
      <w:pPr>
        <w:spacing w:after="0" w:line="240" w:lineRule="auto"/>
        <w:contextualSpacing/>
      </w:pPr>
    </w:p>
    <w:p w14:paraId="35CF98B2" w14:textId="73CD4835" w:rsidR="003C32DF" w:rsidRPr="003C32DF" w:rsidRDefault="003C32DF" w:rsidP="00DD2B81">
      <w:pPr>
        <w:spacing w:after="0" w:line="240" w:lineRule="auto"/>
        <w:contextualSpacing/>
        <w:rPr>
          <w:color w:val="FF0000"/>
        </w:rPr>
      </w:pPr>
      <w:r w:rsidRPr="003C32DF">
        <w:rPr>
          <w:color w:val="FF0000"/>
        </w:rPr>
        <w:t>&gt;&gt;&gt;&gt;&gt;&gt;&gt;&gt;&gt;&gt;&gt;&gt;&gt;&gt;&gt;&gt;&gt;&gt;&gt;&gt;&gt;&gt;&gt;&gt;&gt;&gt;&gt;TEMPLATE STARTS HERE&lt;&lt;&lt;&lt;&lt;&lt;&lt;&lt;&lt;&lt;&lt;&lt;&lt;&lt;&lt;&lt;&lt;&lt;&lt;&lt;&lt;&lt;&lt;&lt;&lt;&lt;&lt;&lt;&lt;&lt;</w:t>
      </w:r>
    </w:p>
    <w:p w14:paraId="31BBC229" w14:textId="77777777" w:rsidR="00DD2B81" w:rsidRDefault="00DD2B81" w:rsidP="00DD2B81">
      <w:pPr>
        <w:spacing w:after="0" w:line="240" w:lineRule="auto"/>
        <w:contextualSpacing/>
      </w:pPr>
    </w:p>
    <w:p w14:paraId="0B14675B" w14:textId="3A429126" w:rsidR="00DD2B81" w:rsidRDefault="00DD2B81" w:rsidP="00D81B2C">
      <w:pPr>
        <w:pStyle w:val="Heading3"/>
      </w:pPr>
      <w:r w:rsidRPr="006B5E8A">
        <w:rPr>
          <w:b/>
          <w:bCs/>
          <w:color w:val="auto"/>
        </w:rPr>
        <w:t>1.</w:t>
      </w:r>
      <w:r w:rsidR="003C32DF">
        <w:rPr>
          <w:color w:val="auto"/>
        </w:rPr>
        <w:t xml:space="preserve"> </w:t>
      </w:r>
      <w:r w:rsidRPr="00E57AFC">
        <w:rPr>
          <w:color w:val="auto"/>
        </w:rPr>
        <w:t>Key Results</w:t>
      </w:r>
      <w:r w:rsidR="00430A54">
        <w:t xml:space="preserve"> </w:t>
      </w:r>
      <w:r w:rsidR="00430A54" w:rsidRPr="00D03C61">
        <w:rPr>
          <w:i/>
          <w:iCs/>
          <w:color w:val="FF0000"/>
          <w:sz w:val="18"/>
          <w:szCs w:val="18"/>
        </w:rPr>
        <w:t>*header, no text required</w:t>
      </w:r>
    </w:p>
    <w:p w14:paraId="70FC4942" w14:textId="77777777" w:rsidR="00DD2B81" w:rsidRDefault="00DD2B81" w:rsidP="00DD2B81">
      <w:pPr>
        <w:spacing w:after="0" w:line="240" w:lineRule="auto"/>
        <w:contextualSpacing/>
      </w:pPr>
    </w:p>
    <w:p w14:paraId="19934EBB" w14:textId="17EB3412" w:rsidR="00DD2B81" w:rsidRDefault="00DD2B81" w:rsidP="00D81B2C">
      <w:pPr>
        <w:pStyle w:val="Heading3"/>
      </w:pPr>
      <w:r w:rsidRPr="006B5E8A">
        <w:rPr>
          <w:b/>
          <w:bCs/>
          <w:color w:val="auto"/>
        </w:rPr>
        <w:t>1.2</w:t>
      </w:r>
      <w:r w:rsidR="003C32DF" w:rsidRPr="006B5E8A">
        <w:rPr>
          <w:b/>
          <w:bCs/>
          <w:color w:val="auto"/>
        </w:rPr>
        <w:t>.</w:t>
      </w:r>
      <w:r w:rsidR="003C32DF">
        <w:rPr>
          <w:color w:val="auto"/>
        </w:rPr>
        <w:t xml:space="preserve"> </w:t>
      </w:r>
      <w:r w:rsidRPr="00E57AFC">
        <w:rPr>
          <w:color w:val="auto"/>
        </w:rPr>
        <w:t xml:space="preserve">Progress </w:t>
      </w:r>
      <w:r w:rsidR="00430A54" w:rsidRPr="00E57AFC">
        <w:rPr>
          <w:color w:val="auto"/>
        </w:rPr>
        <w:t>(</w:t>
      </w:r>
      <w:r w:rsidRPr="00E57AFC">
        <w:rPr>
          <w:color w:val="auto"/>
        </w:rPr>
        <w:t>spheres of control and influence</w:t>
      </w:r>
      <w:r w:rsidR="00430A54" w:rsidRPr="00E57AFC">
        <w:rPr>
          <w:color w:val="auto"/>
        </w:rPr>
        <w:t xml:space="preserve">) </w:t>
      </w:r>
      <w:r w:rsidR="00430A54" w:rsidRPr="00D03C61">
        <w:rPr>
          <w:i/>
          <w:iCs/>
          <w:color w:val="FF0000"/>
          <w:sz w:val="18"/>
          <w:szCs w:val="18"/>
        </w:rPr>
        <w:t>*header, no text required</w:t>
      </w:r>
    </w:p>
    <w:p w14:paraId="4340292F" w14:textId="77777777" w:rsidR="00DD2B81" w:rsidRDefault="00DD2B81" w:rsidP="00DD2B81">
      <w:pPr>
        <w:spacing w:after="0" w:line="240" w:lineRule="auto"/>
        <w:contextualSpacing/>
      </w:pPr>
    </w:p>
    <w:p w14:paraId="0F78D455" w14:textId="7D701262" w:rsidR="00DD2B81" w:rsidRPr="00EE2DAE" w:rsidRDefault="00DD2B81" w:rsidP="00D81B2C">
      <w:pPr>
        <w:pStyle w:val="Heading3"/>
        <w:rPr>
          <w:u w:val="single"/>
        </w:rPr>
      </w:pPr>
      <w:bookmarkStart w:id="0" w:name="_1.2.1._Highlight_Global"/>
      <w:bookmarkEnd w:id="0"/>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(max. </w:t>
      </w:r>
      <w:r w:rsidR="00440CA8" w:rsidRPr="00EE2DAE">
        <w:rPr>
          <w:color w:val="auto"/>
          <w:u w:val="single"/>
        </w:rPr>
        <w:t>100</w:t>
      </w:r>
      <w:r w:rsidR="00430A54" w:rsidRPr="00EE2DAE">
        <w:rPr>
          <w:color w:val="auto"/>
          <w:u w:val="single"/>
        </w:rPr>
        <w:t xml:space="preserve"> words).</w:t>
      </w:r>
      <w:r w:rsidR="00430A54" w:rsidRPr="00EE2DAE">
        <w:rPr>
          <w:u w:val="single"/>
        </w:rPr>
        <w:t xml:space="preserve"> </w:t>
      </w:r>
      <w:hyperlink w:anchor="_Guidance_for_Section" w:history="1">
        <w:r w:rsidR="00184918" w:rsidRPr="00EE2DAE">
          <w:rPr>
            <w:rStyle w:val="Hyperlink"/>
            <w:b/>
            <w:bCs/>
            <w:color w:val="FF0000"/>
            <w:sz w:val="18"/>
            <w:szCs w:val="18"/>
          </w:rPr>
          <w:t>GUIDANCE</w:t>
        </w:r>
      </w:hyperlink>
    </w:p>
    <w:p w14:paraId="297675B4" w14:textId="77777777" w:rsidR="00DD2B81" w:rsidRDefault="00DD2B81" w:rsidP="00DD2B81">
      <w:pPr>
        <w:spacing w:after="0" w:line="240" w:lineRule="auto"/>
        <w:contextualSpacing/>
      </w:pPr>
    </w:p>
    <w:p w14:paraId="05833592" w14:textId="6DC91B68" w:rsidR="00DD2B81" w:rsidRPr="00E3634A" w:rsidRDefault="00AF0CC0" w:rsidP="00DD2B81">
      <w:pPr>
        <w:spacing w:after="0" w:line="240" w:lineRule="auto"/>
        <w:contextualSpacing/>
      </w:pPr>
      <w:r w:rsidRPr="00E3634A">
        <w:rPr>
          <w:bCs/>
        </w:rPr>
        <w:t>The primary fo</w:t>
      </w:r>
      <w:r w:rsidR="00E3634A" w:rsidRPr="00E3634A">
        <w:rPr>
          <w:bCs/>
        </w:rPr>
        <w:t xml:space="preserve">cus </w:t>
      </w:r>
      <w:r w:rsidR="002C3BD4">
        <w:rPr>
          <w:bCs/>
        </w:rPr>
        <w:t xml:space="preserve">of 1.4’s </w:t>
      </w:r>
      <w:r w:rsidR="005111E0">
        <w:rPr>
          <w:bCs/>
        </w:rPr>
        <w:t xml:space="preserve">work in 2020 involved the execution of GLDC’s impact estimation strategy. This included </w:t>
      </w:r>
      <w:r w:rsidR="001D4171">
        <w:rPr>
          <w:bCs/>
        </w:rPr>
        <w:t xml:space="preserve">three sub-studies to </w:t>
      </w:r>
      <w:r w:rsidR="005111E0">
        <w:rPr>
          <w:bCs/>
        </w:rPr>
        <w:t>evidenc</w:t>
      </w:r>
      <w:r w:rsidR="001D4171">
        <w:rPr>
          <w:bCs/>
        </w:rPr>
        <w:t>e</w:t>
      </w:r>
      <w:r w:rsidR="005111E0">
        <w:rPr>
          <w:bCs/>
        </w:rPr>
        <w:t xml:space="preserve"> the extent of GLDC improved variety adoption (SLO target 1.1)</w:t>
      </w:r>
      <w:r w:rsidR="001D4171">
        <w:rPr>
          <w:bCs/>
        </w:rPr>
        <w:t xml:space="preserve"> and </w:t>
      </w:r>
      <w:r w:rsidR="005111E0">
        <w:rPr>
          <w:bCs/>
        </w:rPr>
        <w:t>estimat</w:t>
      </w:r>
      <w:r w:rsidR="001D4171">
        <w:rPr>
          <w:bCs/>
        </w:rPr>
        <w:t>e</w:t>
      </w:r>
      <w:r w:rsidR="005111E0">
        <w:rPr>
          <w:bCs/>
        </w:rPr>
        <w:t xml:space="preserve"> the impacts of the promotion of such crops in nutrition (SLO targets 2.2 and 2.3) and soil organic matter (SLO 3.2)</w:t>
      </w:r>
      <w:r w:rsidR="00D50E50">
        <w:rPr>
          <w:bCs/>
        </w:rPr>
        <w:t xml:space="preserve">. </w:t>
      </w:r>
      <w:r w:rsidR="00D50E50">
        <w:rPr>
          <w:bCs/>
        </w:rPr>
        <w:t xml:space="preserve">Provisional results associated with the first adoption synthesis study were generated, estimating that </w:t>
      </w:r>
      <w:r w:rsidR="00D50E50">
        <w:rPr>
          <w:bCs/>
        </w:rPr>
        <w:t>11,799,732</w:t>
      </w:r>
      <w:r w:rsidR="00D50E50">
        <w:rPr>
          <w:bCs/>
        </w:rPr>
        <w:t xml:space="preserve"> more farming households have planted improved GLDC varieties on </w:t>
      </w:r>
      <w:r w:rsidR="00D50E50">
        <w:rPr>
          <w:bCs/>
        </w:rPr>
        <w:t>7,879,924</w:t>
      </w:r>
      <w:r w:rsidR="00D50E50">
        <w:rPr>
          <w:bCs/>
        </w:rPr>
        <w:t xml:space="preserve"> hectares of land from the 2011 onwards. </w:t>
      </w:r>
      <w:r w:rsidR="003B5CD2">
        <w:rPr>
          <w:bCs/>
        </w:rPr>
        <w:t xml:space="preserve">Two additional impact studies were carried out during 2020, providing estimates that GLDC has assisted </w:t>
      </w:r>
    </w:p>
    <w:p w14:paraId="15AAD7EA" w14:textId="77777777" w:rsidR="00DD2B81" w:rsidRDefault="00DD2B81" w:rsidP="00DD2B81">
      <w:pPr>
        <w:spacing w:after="0" w:line="240" w:lineRule="auto"/>
        <w:contextualSpacing/>
      </w:pPr>
    </w:p>
    <w:p w14:paraId="5629F67C" w14:textId="1A433251" w:rsidR="00DD2B81" w:rsidRPr="00EE2DAE" w:rsidRDefault="00DD2B81" w:rsidP="00D81B2C">
      <w:pPr>
        <w:pStyle w:val="Heading3"/>
        <w:rPr>
          <w:u w:val="single"/>
        </w:rPr>
      </w:pPr>
      <w:bookmarkStart w:id="1" w:name="_1.2.2._Flagship_progress"/>
      <w:bookmarkEnd w:id="1"/>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7A34AA">
        <w:rPr>
          <w:color w:val="auto"/>
          <w:u w:val="single"/>
        </w:rPr>
        <w:t>Cluster contribution towards Flagship</w:t>
      </w:r>
      <w:r w:rsidR="00184918" w:rsidRPr="00EE2DAE">
        <w:rPr>
          <w:color w:val="auto"/>
          <w:u w:val="single"/>
        </w:rPr>
        <w:t xml:space="preserve"> progress</w:t>
      </w:r>
      <w:r w:rsidR="00430A54" w:rsidRPr="00EE2DAE">
        <w:rPr>
          <w:color w:val="auto"/>
          <w:u w:val="single"/>
        </w:rPr>
        <w:t xml:space="preserve"> </w:t>
      </w:r>
      <w:r w:rsidR="007A34AA">
        <w:rPr>
          <w:color w:val="auto"/>
          <w:u w:val="single"/>
        </w:rPr>
        <w:t>on</w:t>
      </w:r>
      <w:r w:rsidR="00430A54" w:rsidRPr="00EE2DAE">
        <w:rPr>
          <w:color w:val="auto"/>
          <w:u w:val="single"/>
        </w:rPr>
        <w:t xml:space="preserve"> Outputs and Outcomes (</w:t>
      </w:r>
      <w:r w:rsidRPr="00EE2DAE">
        <w:rPr>
          <w:color w:val="auto"/>
          <w:u w:val="single"/>
        </w:rPr>
        <w:t xml:space="preserve">max. </w:t>
      </w:r>
      <w:r w:rsidR="007A34AA">
        <w:rPr>
          <w:color w:val="auto"/>
          <w:u w:val="single"/>
        </w:rPr>
        <w:t>500</w:t>
      </w:r>
      <w:r w:rsidRPr="00EE2DAE">
        <w:rPr>
          <w:color w:val="auto"/>
          <w:u w:val="single"/>
        </w:rPr>
        <w:t xml:space="preserve"> words</w:t>
      </w:r>
      <w:r w:rsidR="00184918" w:rsidRPr="00EE2DAE">
        <w:rPr>
          <w:color w:val="auto"/>
          <w:u w:val="single"/>
        </w:rPr>
        <w:t xml:space="preserve">) </w:t>
      </w:r>
      <w:hyperlink w:anchor="_Guidance_for_Section_1" w:history="1">
        <w:r w:rsidR="00184918" w:rsidRPr="00EE2DAE">
          <w:rPr>
            <w:rStyle w:val="Hyperlink"/>
            <w:b/>
            <w:bCs/>
            <w:color w:val="FF0000"/>
            <w:sz w:val="18"/>
            <w:szCs w:val="18"/>
          </w:rPr>
          <w:t>GUIDANCE</w:t>
        </w:r>
      </w:hyperlink>
    </w:p>
    <w:p w14:paraId="6A0A8CC6" w14:textId="77777777" w:rsidR="00DD2B81" w:rsidRDefault="00DD2B81" w:rsidP="00DD2B81">
      <w:pPr>
        <w:spacing w:after="0" w:line="240" w:lineRule="auto"/>
        <w:contextualSpacing/>
      </w:pPr>
    </w:p>
    <w:p w14:paraId="70B54594" w14:textId="62791B0C" w:rsidR="001A3823" w:rsidRDefault="00141E1D" w:rsidP="00141E1D">
      <w:pPr>
        <w:spacing w:after="0" w:line="240" w:lineRule="auto"/>
        <w:contextualSpacing/>
        <w:rPr>
          <w:bCs/>
        </w:rPr>
      </w:pPr>
      <w:r>
        <w:rPr>
          <w:bCs/>
        </w:rPr>
        <w:t xml:space="preserve">Significant progress has been made to estimate GLDC’s impacts on key SLO targets. While the </w:t>
      </w:r>
      <w:proofErr w:type="gramStart"/>
      <w:r>
        <w:rPr>
          <w:bCs/>
        </w:rPr>
        <w:t>final results</w:t>
      </w:r>
      <w:proofErr w:type="gramEnd"/>
      <w:r>
        <w:rPr>
          <w:bCs/>
        </w:rPr>
        <w:t xml:space="preserve"> of the particular sub-studies underway in 2020 will not be out until the first quarter of 2021, the provisional results are promising</w:t>
      </w:r>
      <w:r w:rsidR="00140705">
        <w:rPr>
          <w:bCs/>
        </w:rPr>
        <w:t>:</w:t>
      </w:r>
      <w:r>
        <w:rPr>
          <w:bCs/>
        </w:rPr>
        <w:t xml:space="preserve"> </w:t>
      </w:r>
    </w:p>
    <w:p w14:paraId="19152B9F" w14:textId="77777777" w:rsidR="001A3823" w:rsidRDefault="001A3823" w:rsidP="00141E1D">
      <w:pPr>
        <w:spacing w:after="0" w:line="240" w:lineRule="auto"/>
        <w:contextualSpacing/>
        <w:rPr>
          <w:bCs/>
        </w:rPr>
      </w:pPr>
    </w:p>
    <w:p w14:paraId="1AF2313E" w14:textId="489E729E" w:rsidR="00141E1D" w:rsidRDefault="00141E1D" w:rsidP="00141E1D">
      <w:pPr>
        <w:spacing w:after="0" w:line="240" w:lineRule="auto"/>
        <w:contextualSpacing/>
        <w:rPr>
          <w:bCs/>
        </w:rPr>
      </w:pPr>
      <w:r w:rsidRPr="00141E1D">
        <w:rPr>
          <w:bCs/>
        </w:rPr>
        <w:lastRenderedPageBreak/>
        <w:t xml:space="preserve">1. </w:t>
      </w:r>
      <w:r w:rsidRPr="001A3823">
        <w:rPr>
          <w:b/>
          <w:bCs/>
        </w:rPr>
        <w:t xml:space="preserve">Systematic review undertaken </w:t>
      </w:r>
      <w:r w:rsidR="001A3823" w:rsidRPr="001A3823">
        <w:rPr>
          <w:b/>
          <w:bCs/>
        </w:rPr>
        <w:t>on the adoption of</w:t>
      </w:r>
      <w:r w:rsidRPr="001A3823">
        <w:rPr>
          <w:b/>
          <w:bCs/>
        </w:rPr>
        <w:t xml:space="preserve"> improved GLDC crops in target countries</w:t>
      </w:r>
      <w:r w:rsidR="00D50E50">
        <w:rPr>
          <w:b/>
          <w:bCs/>
        </w:rPr>
        <w:t>, with adoption estimation extrapolation</w:t>
      </w:r>
      <w:r w:rsidR="00352CA1">
        <w:rPr>
          <w:b/>
          <w:bCs/>
        </w:rPr>
        <w:t xml:space="preserve"> (</w:t>
      </w:r>
      <w:proofErr w:type="spellStart"/>
      <w:r w:rsidR="00352CA1">
        <w:rPr>
          <w:b/>
          <w:bCs/>
        </w:rPr>
        <w:t>Woldeyohanes</w:t>
      </w:r>
      <w:proofErr w:type="spellEnd"/>
      <w:r w:rsidR="00352CA1">
        <w:rPr>
          <w:b/>
          <w:bCs/>
        </w:rPr>
        <w:t xml:space="preserve"> et al., forthcoming)</w:t>
      </w:r>
      <w:r w:rsidRPr="00141E1D">
        <w:rPr>
          <w:bCs/>
        </w:rPr>
        <w:t xml:space="preserve">. 220 potential studies </w:t>
      </w:r>
      <w:r w:rsidR="00D50E50">
        <w:rPr>
          <w:bCs/>
        </w:rPr>
        <w:t xml:space="preserve">were </w:t>
      </w:r>
      <w:r w:rsidRPr="00141E1D">
        <w:rPr>
          <w:bCs/>
        </w:rPr>
        <w:t>screened, with 6</w:t>
      </w:r>
      <w:r w:rsidR="00D50E50">
        <w:rPr>
          <w:bCs/>
        </w:rPr>
        <w:t>8</w:t>
      </w:r>
      <w:r w:rsidRPr="00141E1D">
        <w:rPr>
          <w:bCs/>
        </w:rPr>
        <w:t xml:space="preserve"> meeting inclusion criteria and reviewed. </w:t>
      </w:r>
      <w:r w:rsidR="000A227E" w:rsidRPr="000A227E">
        <w:rPr>
          <w:bCs/>
        </w:rPr>
        <w:t>Out of the 68 retained adoption and impact studies, only 35 country by crop combinations (CCCs) with the latest adoption data were used for the synthesis of adoption estimate and extrapolation purpose</w:t>
      </w:r>
      <w:r w:rsidR="00D50E50">
        <w:rPr>
          <w:bCs/>
        </w:rPr>
        <w:t>s</w:t>
      </w:r>
      <w:r w:rsidR="000A227E" w:rsidRPr="000A227E">
        <w:rPr>
          <w:bCs/>
        </w:rPr>
        <w:t xml:space="preserve">. Where two or more adoption studies based on surveys from different time periods were available for a country crop combination, the latest data </w:t>
      </w:r>
      <w:r w:rsidR="00D50E50">
        <w:rPr>
          <w:bCs/>
        </w:rPr>
        <w:t>was</w:t>
      </w:r>
      <w:r w:rsidR="000A227E" w:rsidRPr="000A227E">
        <w:rPr>
          <w:bCs/>
        </w:rPr>
        <w:t xml:space="preserve"> used for the synthesis</w:t>
      </w:r>
      <w:r w:rsidR="000A227E">
        <w:rPr>
          <w:bCs/>
        </w:rPr>
        <w:t xml:space="preserve">, </w:t>
      </w:r>
      <w:r w:rsidR="000A227E" w:rsidRPr="000A227E">
        <w:rPr>
          <w:bCs/>
        </w:rPr>
        <w:t xml:space="preserve">while the remaining used to track the adoption progress over the years and to calculate adoption growth rate per year. </w:t>
      </w:r>
      <w:r w:rsidR="001A3823">
        <w:rPr>
          <w:bCs/>
        </w:rPr>
        <w:t>Provisional</w:t>
      </w:r>
      <w:r w:rsidRPr="00141E1D">
        <w:rPr>
          <w:bCs/>
        </w:rPr>
        <w:t xml:space="preserve"> </w:t>
      </w:r>
      <w:r w:rsidR="000A227E">
        <w:rPr>
          <w:bCs/>
        </w:rPr>
        <w:t>estimates are that 35</w:t>
      </w:r>
      <w:r w:rsidRPr="00141E1D">
        <w:rPr>
          <w:bCs/>
        </w:rPr>
        <w:t>,</w:t>
      </w:r>
      <w:r w:rsidR="000A227E">
        <w:rPr>
          <w:bCs/>
        </w:rPr>
        <w:t>375,145</w:t>
      </w:r>
      <w:r w:rsidRPr="00141E1D">
        <w:rPr>
          <w:bCs/>
        </w:rPr>
        <w:t xml:space="preserve"> ha. </w:t>
      </w:r>
      <w:r w:rsidR="000A227E">
        <w:rPr>
          <w:bCs/>
        </w:rPr>
        <w:t xml:space="preserve">are </w:t>
      </w:r>
      <w:r w:rsidRPr="00141E1D">
        <w:rPr>
          <w:bCs/>
        </w:rPr>
        <w:t xml:space="preserve">under improved GLDC </w:t>
      </w:r>
      <w:r w:rsidR="000A227E">
        <w:rPr>
          <w:bCs/>
        </w:rPr>
        <w:t>varieties</w:t>
      </w:r>
      <w:r w:rsidRPr="00141E1D">
        <w:rPr>
          <w:bCs/>
        </w:rPr>
        <w:t xml:space="preserve"> among </w:t>
      </w:r>
      <w:r w:rsidR="000A227E">
        <w:rPr>
          <w:bCs/>
        </w:rPr>
        <w:t>46</w:t>
      </w:r>
      <w:r w:rsidRPr="00141E1D">
        <w:rPr>
          <w:bCs/>
        </w:rPr>
        <w:t>,</w:t>
      </w:r>
      <w:r w:rsidR="000A227E">
        <w:rPr>
          <w:bCs/>
        </w:rPr>
        <w:t>559,683</w:t>
      </w:r>
      <w:r w:rsidRPr="00141E1D">
        <w:rPr>
          <w:bCs/>
        </w:rPr>
        <w:t xml:space="preserve"> farming households</w:t>
      </w:r>
      <w:r w:rsidR="000A227E">
        <w:rPr>
          <w:bCs/>
        </w:rPr>
        <w:t xml:space="preserve"> in GLDC’s 13 target countries</w:t>
      </w:r>
      <w:proofErr w:type="gramStart"/>
      <w:r w:rsidR="000A227E">
        <w:rPr>
          <w:bCs/>
        </w:rPr>
        <w:t xml:space="preserve">. </w:t>
      </w:r>
      <w:proofErr w:type="gramEnd"/>
      <w:r w:rsidR="00D50E50">
        <w:rPr>
          <w:bCs/>
        </w:rPr>
        <w:t xml:space="preserve">If we focus on the 2011 period onwards, these figures are </w:t>
      </w:r>
      <w:r w:rsidR="00642576" w:rsidRPr="00642576">
        <w:rPr>
          <w:rFonts w:ascii="Calibri" w:hAnsi="Calibri" w:cs="Calibri"/>
          <w:bCs/>
          <w:color w:val="000000"/>
        </w:rPr>
        <w:t>10,791,032</w:t>
      </w:r>
      <w:r w:rsidR="00D50E50">
        <w:rPr>
          <w:bCs/>
        </w:rPr>
        <w:t xml:space="preserve"> and </w:t>
      </w:r>
      <w:r w:rsidR="00642576" w:rsidRPr="00642576">
        <w:rPr>
          <w:rFonts w:ascii="Calibri" w:hAnsi="Calibri" w:cs="Calibri"/>
          <w:bCs/>
          <w:color w:val="000000"/>
        </w:rPr>
        <w:t>15,458,870</w:t>
      </w:r>
      <w:r w:rsidR="00D50E50">
        <w:rPr>
          <w:bCs/>
        </w:rPr>
        <w:t xml:space="preserve"> for area (ha.) and farming households, respectively</w:t>
      </w:r>
      <w:r w:rsidRPr="00141E1D">
        <w:rPr>
          <w:bCs/>
        </w:rPr>
        <w:t xml:space="preserve">. </w:t>
      </w:r>
    </w:p>
    <w:p w14:paraId="3AD2314B" w14:textId="143CC8E3" w:rsidR="001A3823" w:rsidRDefault="001A3823" w:rsidP="00141E1D">
      <w:pPr>
        <w:spacing w:after="0" w:line="240" w:lineRule="auto"/>
        <w:contextualSpacing/>
        <w:rPr>
          <w:bCs/>
        </w:rPr>
      </w:pPr>
    </w:p>
    <w:p w14:paraId="7AF366AE" w14:textId="2EBB953A" w:rsidR="003B5CD2" w:rsidRDefault="003B5CD2" w:rsidP="00141E1D">
      <w:pPr>
        <w:spacing w:after="0" w:line="240" w:lineRule="auto"/>
        <w:contextualSpacing/>
        <w:rPr>
          <w:bCs/>
        </w:rPr>
      </w:pPr>
      <w:r>
        <w:rPr>
          <w:bCs/>
        </w:rPr>
        <w:t>In 2020, another</w:t>
      </w:r>
      <w:r w:rsidR="00051F3A">
        <w:rPr>
          <w:bCs/>
        </w:rPr>
        <w:t xml:space="preserve"> DNA-based adoption and impact study carried out in a non-priority GLDC target country (Bangladesh) found that </w:t>
      </w:r>
      <w:r w:rsidR="00051F3A" w:rsidRPr="00051F3A">
        <w:rPr>
          <w:bCs/>
        </w:rPr>
        <w:t>644,988</w:t>
      </w:r>
      <w:r w:rsidR="00051F3A" w:rsidRPr="00051F3A">
        <w:rPr>
          <w:bCs/>
        </w:rPr>
        <w:t xml:space="preserve"> households had adopted improved lentil varietie</w:t>
      </w:r>
      <w:r w:rsidR="00051F3A">
        <w:rPr>
          <w:bCs/>
        </w:rPr>
        <w:t>s (ILVs)</w:t>
      </w:r>
      <w:r w:rsidR="00EC339C">
        <w:rPr>
          <w:bCs/>
        </w:rPr>
        <w:t xml:space="preserve"> (</w:t>
      </w:r>
      <w:proofErr w:type="spellStart"/>
      <w:r w:rsidR="00EC339C">
        <w:rPr>
          <w:bCs/>
        </w:rPr>
        <w:t>Atnafe</w:t>
      </w:r>
      <w:proofErr w:type="spellEnd"/>
      <w:r w:rsidR="00EC339C">
        <w:rPr>
          <w:bCs/>
        </w:rPr>
        <w:t xml:space="preserve"> et al., </w:t>
      </w:r>
      <w:r w:rsidR="00EC339C" w:rsidRPr="00EC339C">
        <w:rPr>
          <w:bCs/>
          <w:i/>
        </w:rPr>
        <w:t>forthcoming</w:t>
      </w:r>
      <w:r w:rsidR="00EC339C">
        <w:rPr>
          <w:bCs/>
        </w:rPr>
        <w:t>)</w:t>
      </w:r>
      <w:r w:rsidR="00051F3A" w:rsidRPr="00051F3A">
        <w:rPr>
          <w:bCs/>
        </w:rPr>
        <w:t>.</w:t>
      </w:r>
      <w:r w:rsidR="00051F3A">
        <w:rPr>
          <w:bCs/>
        </w:rPr>
        <w:t xml:space="preserve"> </w:t>
      </w:r>
    </w:p>
    <w:p w14:paraId="57708F78" w14:textId="77777777" w:rsidR="003B5CD2" w:rsidRPr="00141E1D" w:rsidRDefault="003B5CD2" w:rsidP="00141E1D">
      <w:pPr>
        <w:spacing w:after="0" w:line="240" w:lineRule="auto"/>
        <w:contextualSpacing/>
        <w:rPr>
          <w:bCs/>
        </w:rPr>
      </w:pPr>
    </w:p>
    <w:p w14:paraId="46AD4F9E" w14:textId="711A1860" w:rsidR="001A3823" w:rsidRDefault="00141E1D" w:rsidP="00141E1D">
      <w:pPr>
        <w:spacing w:after="0" w:line="240" w:lineRule="auto"/>
        <w:contextualSpacing/>
        <w:rPr>
          <w:bCs/>
        </w:rPr>
      </w:pPr>
      <w:r w:rsidRPr="00141E1D">
        <w:rPr>
          <w:bCs/>
        </w:rPr>
        <w:t xml:space="preserve">2. </w:t>
      </w:r>
      <w:r w:rsidRPr="001A3823">
        <w:rPr>
          <w:b/>
          <w:bCs/>
        </w:rPr>
        <w:t>Systematic review undertaken of effects of GLDC crops on soil health</w:t>
      </w:r>
      <w:r w:rsidR="00352CA1">
        <w:rPr>
          <w:b/>
          <w:bCs/>
        </w:rPr>
        <w:t xml:space="preserve"> (</w:t>
      </w:r>
      <w:proofErr w:type="spellStart"/>
      <w:r w:rsidR="00352CA1">
        <w:rPr>
          <w:b/>
          <w:bCs/>
        </w:rPr>
        <w:t>Oborn</w:t>
      </w:r>
      <w:proofErr w:type="spellEnd"/>
      <w:r w:rsidR="00352CA1">
        <w:rPr>
          <w:b/>
          <w:bCs/>
        </w:rPr>
        <w:t xml:space="preserve"> et al. forthcoming)</w:t>
      </w:r>
      <w:r w:rsidRPr="00141E1D">
        <w:rPr>
          <w:bCs/>
        </w:rPr>
        <w:t xml:space="preserve">. 11,306 documents screened, with 462 meeting inclusion criteria (334 for systematic review and 147 for meta-analysis). Results </w:t>
      </w:r>
      <w:r w:rsidR="00D50E50">
        <w:rPr>
          <w:bCs/>
        </w:rPr>
        <w:t xml:space="preserve">are </w:t>
      </w:r>
      <w:r w:rsidRPr="00141E1D">
        <w:rPr>
          <w:bCs/>
        </w:rPr>
        <w:t xml:space="preserve">in progress of being </w:t>
      </w:r>
      <w:r w:rsidR="001A3823" w:rsidRPr="00141E1D">
        <w:rPr>
          <w:bCs/>
        </w:rPr>
        <w:t>synthesized</w:t>
      </w:r>
      <w:r w:rsidRPr="00141E1D">
        <w:rPr>
          <w:bCs/>
        </w:rPr>
        <w:t>.</w:t>
      </w:r>
      <w:r w:rsidR="00352CA1">
        <w:rPr>
          <w:bCs/>
        </w:rPr>
        <w:t xml:space="preserve"> They will be combined with the adoption estimates to estimate the impacts of GLDC crops on soil health.</w:t>
      </w:r>
    </w:p>
    <w:p w14:paraId="5857E2FA" w14:textId="0FDDAFC8" w:rsidR="00141E1D" w:rsidRPr="00141E1D" w:rsidRDefault="00141E1D" w:rsidP="00141E1D">
      <w:pPr>
        <w:spacing w:after="0" w:line="240" w:lineRule="auto"/>
        <w:contextualSpacing/>
        <w:rPr>
          <w:bCs/>
        </w:rPr>
      </w:pPr>
      <w:r w:rsidRPr="00141E1D">
        <w:rPr>
          <w:bCs/>
        </w:rPr>
        <w:t xml:space="preserve"> </w:t>
      </w:r>
    </w:p>
    <w:p w14:paraId="31C77972" w14:textId="6A6AD774" w:rsidR="00DD2B81" w:rsidRPr="00141E1D" w:rsidRDefault="00141E1D" w:rsidP="00141E1D">
      <w:pPr>
        <w:spacing w:after="0" w:line="240" w:lineRule="auto"/>
        <w:contextualSpacing/>
      </w:pPr>
      <w:r w:rsidRPr="00141E1D">
        <w:rPr>
          <w:bCs/>
        </w:rPr>
        <w:t>3</w:t>
      </w:r>
      <w:r w:rsidRPr="001A3823">
        <w:rPr>
          <w:b/>
          <w:bCs/>
        </w:rPr>
        <w:t>. Estimating the contribution of GLDC crops to nutrition</w:t>
      </w:r>
      <w:r w:rsidR="00352CA1">
        <w:rPr>
          <w:b/>
          <w:bCs/>
        </w:rPr>
        <w:t xml:space="preserve"> (</w:t>
      </w:r>
      <w:proofErr w:type="spellStart"/>
      <w:r w:rsidR="00352CA1">
        <w:rPr>
          <w:b/>
          <w:bCs/>
        </w:rPr>
        <w:t>Oduol</w:t>
      </w:r>
      <w:proofErr w:type="spellEnd"/>
      <w:r w:rsidR="00352CA1">
        <w:rPr>
          <w:b/>
          <w:bCs/>
        </w:rPr>
        <w:t xml:space="preserve"> et al., forthcoming)</w:t>
      </w:r>
      <w:r w:rsidRPr="00141E1D">
        <w:rPr>
          <w:bCs/>
        </w:rPr>
        <w:t xml:space="preserve">. Innovative methodology undertaken to a) assess key nutrition gaps in GLDC target countries; and b) estimate the contribution of GLDC crops to daily energy and protein requirements in GLDC targeting criteria. Very initial results reveal that GLDC crops meet 9% and 21% of the energy and </w:t>
      </w:r>
      <w:r w:rsidR="001A3823" w:rsidRPr="00141E1D">
        <w:rPr>
          <w:bCs/>
        </w:rPr>
        <w:t>protein</w:t>
      </w:r>
      <w:r w:rsidRPr="00141E1D">
        <w:rPr>
          <w:bCs/>
        </w:rPr>
        <w:t xml:space="preserve"> requirements of adopting households, respectively.</w:t>
      </w:r>
    </w:p>
    <w:p w14:paraId="7DD3C1DF" w14:textId="4FFEB8CD" w:rsidR="00184918" w:rsidRDefault="00184918" w:rsidP="00DD2B81">
      <w:pPr>
        <w:spacing w:after="0" w:line="240" w:lineRule="auto"/>
        <w:contextualSpacing/>
      </w:pPr>
    </w:p>
    <w:p w14:paraId="7A046C08" w14:textId="1BE8BD2E" w:rsidR="006252CA" w:rsidRDefault="006252CA" w:rsidP="00DD2B81">
      <w:pPr>
        <w:spacing w:after="0" w:line="240" w:lineRule="auto"/>
        <w:contextualSpacing/>
      </w:pPr>
      <w:r>
        <w:t xml:space="preserve">4. </w:t>
      </w:r>
      <w:r w:rsidRPr="006252CA">
        <w:rPr>
          <w:b/>
        </w:rPr>
        <w:t>Additional</w:t>
      </w:r>
      <w:r w:rsidR="002402FA">
        <w:rPr>
          <w:b/>
        </w:rPr>
        <w:t xml:space="preserve"> impact</w:t>
      </w:r>
      <w:r w:rsidRPr="006252CA">
        <w:rPr>
          <w:b/>
        </w:rPr>
        <w:t xml:space="preserve"> studies for other SLO targets</w:t>
      </w:r>
    </w:p>
    <w:p w14:paraId="49B9A4C3" w14:textId="3FFD3850" w:rsidR="006252CA" w:rsidRDefault="006252CA" w:rsidP="006252CA">
      <w:r>
        <w:t xml:space="preserve">The above Bangladesh lentil study </w:t>
      </w:r>
      <w:r>
        <w:rPr>
          <w:bCs/>
        </w:rPr>
        <w:t xml:space="preserve">estimate that the </w:t>
      </w:r>
      <w:r w:rsidRPr="00051F3A">
        <w:rPr>
          <w:bCs/>
        </w:rPr>
        <w:t>adoption of ILVs led to 580 kg/ha (40%) higher yields and US$501/ha (47%) higher gross margins.</w:t>
      </w:r>
      <w:r>
        <w:rPr>
          <w:bCs/>
        </w:rPr>
        <w:t xml:space="preserve"> If we assume from World Bank data that the poverty rate among lentil growing areas is a</w:t>
      </w:r>
      <w:r w:rsidR="00EC339C">
        <w:rPr>
          <w:bCs/>
        </w:rPr>
        <w:t>pproximately 25%, this implies that over 160,000 households</w:t>
      </w:r>
      <w:r w:rsidR="000E34AB">
        <w:rPr>
          <w:bCs/>
        </w:rPr>
        <w:t xml:space="preserve"> (657,600 people)</w:t>
      </w:r>
      <w:r w:rsidR="00EC339C">
        <w:rPr>
          <w:bCs/>
        </w:rPr>
        <w:t xml:space="preserve"> were supported to exit poverty. Another study in Nigeria (</w:t>
      </w:r>
      <w:proofErr w:type="spellStart"/>
      <w:r w:rsidR="00EC339C">
        <w:rPr>
          <w:bCs/>
        </w:rPr>
        <w:t>Melesse</w:t>
      </w:r>
      <w:proofErr w:type="spellEnd"/>
      <w:r w:rsidR="00EC339C">
        <w:rPr>
          <w:bCs/>
        </w:rPr>
        <w:t xml:space="preserve"> et al., </w:t>
      </w:r>
      <w:r w:rsidR="00EC339C" w:rsidRPr="00EC339C">
        <w:rPr>
          <w:bCs/>
          <w:i/>
        </w:rPr>
        <w:t>forthcoming</w:t>
      </w:r>
      <w:r w:rsidR="00EC339C">
        <w:rPr>
          <w:bCs/>
        </w:rPr>
        <w:t xml:space="preserve">) found significant income effects among household adopting improved GLDC groundnut varieties. </w:t>
      </w:r>
      <w:r w:rsidR="002402FA">
        <w:rPr>
          <w:bCs/>
        </w:rPr>
        <w:t>Using World Bank estimates, again, we can safely assume that at least 65% of adopting households are below the poverty line, allowing us to estimate that over 290,000 households</w:t>
      </w:r>
      <w:r w:rsidR="000E34AB">
        <w:rPr>
          <w:bCs/>
        </w:rPr>
        <w:t xml:space="preserve"> (1,479,000 people)</w:t>
      </w:r>
      <w:r w:rsidR="002402FA">
        <w:rPr>
          <w:bCs/>
        </w:rPr>
        <w:t xml:space="preserve"> have been supported to exit poverty. </w:t>
      </w:r>
    </w:p>
    <w:p w14:paraId="7664C35A" w14:textId="77777777" w:rsidR="006252CA" w:rsidRDefault="006252CA" w:rsidP="00DD2B81">
      <w:pPr>
        <w:spacing w:after="0" w:line="240" w:lineRule="auto"/>
        <w:contextualSpacing/>
      </w:pPr>
    </w:p>
    <w:p w14:paraId="4C8AEB5F" w14:textId="20814333" w:rsidR="00DD2B81" w:rsidRPr="00EE2DAE" w:rsidRDefault="00DD2B81" w:rsidP="00D81B2C">
      <w:pPr>
        <w:pStyle w:val="Heading3"/>
        <w:rPr>
          <w:u w:val="single"/>
        </w:rPr>
      </w:pPr>
      <w:bookmarkStart w:id="2" w:name="_1.2.2.a._Relevance_to"/>
      <w:bookmarkEnd w:id="2"/>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 xml:space="preserve">Relevance to Covid-19 by </w:t>
      </w:r>
      <w:r w:rsidR="007A34AA">
        <w:rPr>
          <w:color w:val="auto"/>
          <w:u w:val="single"/>
        </w:rPr>
        <w:t>CoA</w:t>
      </w:r>
      <w:r w:rsidRPr="00EE2DAE">
        <w:rPr>
          <w:color w:val="auto"/>
          <w:u w:val="single"/>
        </w:rPr>
        <w:t xml:space="preserve"> (max. </w:t>
      </w:r>
      <w:r w:rsidR="007A34AA">
        <w:rPr>
          <w:color w:val="auto"/>
          <w:u w:val="single"/>
        </w:rPr>
        <w:t>150</w:t>
      </w:r>
      <w:r w:rsidRPr="00EE2DAE">
        <w:rPr>
          <w:color w:val="auto"/>
          <w:u w:val="single"/>
        </w:rPr>
        <w:t xml:space="preserve"> words)</w:t>
      </w:r>
      <w:r w:rsidR="00184918" w:rsidRPr="00EE2DAE">
        <w:rPr>
          <w:color w:val="auto"/>
          <w:u w:val="single"/>
        </w:rPr>
        <w:t xml:space="preserve"> </w:t>
      </w:r>
      <w:hyperlink w:anchor="_Guidance_for_Section_2" w:history="1">
        <w:r w:rsidR="00184918" w:rsidRPr="00EE2DAE">
          <w:rPr>
            <w:rStyle w:val="Hyperlink"/>
            <w:b/>
            <w:bCs/>
            <w:color w:val="FF0000"/>
            <w:sz w:val="18"/>
            <w:szCs w:val="18"/>
          </w:rPr>
          <w:t>GUIDANCE</w:t>
        </w:r>
      </w:hyperlink>
    </w:p>
    <w:p w14:paraId="49D55B43" w14:textId="77777777" w:rsidR="00327109" w:rsidRDefault="00327109" w:rsidP="00327109">
      <w:pPr>
        <w:spacing w:after="0" w:line="240" w:lineRule="auto"/>
        <w:contextualSpacing/>
        <w:rPr>
          <w:color w:val="2E74B5" w:themeColor="accent5" w:themeShade="BF"/>
        </w:rPr>
      </w:pPr>
    </w:p>
    <w:p w14:paraId="656271A2" w14:textId="75669AED" w:rsidR="00DD2B81" w:rsidRPr="001A3823" w:rsidRDefault="001A3823" w:rsidP="00DD2B81">
      <w:pPr>
        <w:spacing w:after="0" w:line="240" w:lineRule="auto"/>
        <w:contextualSpacing/>
      </w:pPr>
      <w:r w:rsidRPr="001A3823">
        <w:rPr>
          <w:bCs/>
        </w:rPr>
        <w:t>Given that the work under the GLDC impact estimation strategy involves synthesizing existing data and evidence, its execution has not been significantly affected by Covid-19.</w:t>
      </w:r>
      <w:r>
        <w:t xml:space="preserve"> </w:t>
      </w:r>
      <w:r w:rsidRPr="001A3823">
        <w:t xml:space="preserve"> </w:t>
      </w:r>
    </w:p>
    <w:p w14:paraId="0CAE4778" w14:textId="77777777" w:rsidR="00DD2B81" w:rsidRDefault="00DD2B81" w:rsidP="00DD2B81">
      <w:pPr>
        <w:spacing w:after="0" w:line="240" w:lineRule="auto"/>
        <w:contextualSpacing/>
      </w:pPr>
    </w:p>
    <w:p w14:paraId="14F8847D" w14:textId="4E83C96A" w:rsidR="00DD2B81" w:rsidRDefault="00DD2B81" w:rsidP="00D81B2C">
      <w:pPr>
        <w:pStyle w:val="Heading3"/>
      </w:pPr>
      <w:bookmarkStart w:id="3" w:name="_1.2.3._Variance_from"/>
      <w:bookmarkEnd w:id="3"/>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099A0A88" w:rsidR="00D94016" w:rsidRPr="00EE2DAE" w:rsidRDefault="00D94016" w:rsidP="00D81B2C">
      <w:pPr>
        <w:pStyle w:val="Heading3"/>
        <w:rPr>
          <w:u w:val="single"/>
        </w:rPr>
      </w:pPr>
      <w:r w:rsidRPr="006B5E8A">
        <w:rPr>
          <w:b/>
          <w:bCs/>
          <w:color w:val="auto"/>
          <w:u w:val="single"/>
        </w:rPr>
        <w:lastRenderedPageBreak/>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EE2DAE">
        <w:rPr>
          <w:b/>
          <w:color w:val="auto"/>
          <w:u w:val="single"/>
        </w:rPr>
        <w:t>expanded</w:t>
      </w:r>
      <w:r w:rsidRPr="00EE2DAE">
        <w:rPr>
          <w:color w:val="auto"/>
          <w:u w:val="single"/>
        </w:rPr>
        <w:t xml:space="preserve">? (max </w:t>
      </w:r>
      <w:r w:rsidR="00440CA8" w:rsidRPr="00EE2DAE">
        <w:rPr>
          <w:color w:val="auto"/>
          <w:u w:val="single"/>
        </w:rPr>
        <w:t>50</w:t>
      </w:r>
      <w:r w:rsidRPr="00EE2DAE">
        <w:rPr>
          <w:color w:val="auto"/>
          <w:u w:val="single"/>
        </w:rPr>
        <w:t xml:space="preserve">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4236862" w14:textId="4D6837BD" w:rsidR="00D94016" w:rsidRPr="001A3823" w:rsidRDefault="00D94016" w:rsidP="00DD2B81">
      <w:pPr>
        <w:spacing w:after="0" w:line="240" w:lineRule="auto"/>
        <w:contextualSpacing/>
      </w:pPr>
    </w:p>
    <w:p w14:paraId="322F3A15" w14:textId="1D35B6D3" w:rsidR="00D94016" w:rsidRPr="001A3823" w:rsidRDefault="001A3823" w:rsidP="00DD2B81">
      <w:pPr>
        <w:spacing w:after="0" w:line="240" w:lineRule="auto"/>
        <w:contextualSpacing/>
      </w:pPr>
      <w:r w:rsidRPr="001A3823">
        <w:rPr>
          <w:bCs/>
        </w:rPr>
        <w:t>No</w:t>
      </w:r>
    </w:p>
    <w:p w14:paraId="5D694171" w14:textId="77777777" w:rsidR="00D94016" w:rsidRDefault="00D94016"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79C4B9C1" w14:textId="1BE34B69" w:rsidR="00D94016" w:rsidRPr="001A3823" w:rsidRDefault="001A3823" w:rsidP="00D94016">
      <w:pPr>
        <w:spacing w:after="0" w:line="240" w:lineRule="auto"/>
        <w:contextualSpacing/>
      </w:pPr>
      <w:r w:rsidRPr="001A3823">
        <w:t>No</w:t>
      </w:r>
    </w:p>
    <w:p w14:paraId="28810C61" w14:textId="77777777" w:rsidR="00D94016" w:rsidRDefault="00D94016" w:rsidP="00DD2B81">
      <w:pPr>
        <w:spacing w:after="0" w:line="240" w:lineRule="auto"/>
        <w:contextualSpacing/>
      </w:pPr>
    </w:p>
    <w:p w14:paraId="06D5EE55" w14:textId="52B71934"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7A34AA">
        <w:rPr>
          <w:color w:val="auto"/>
          <w:u w:val="single"/>
        </w:rPr>
        <w:t>Has the cluster</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740385D0" w14:textId="78BC7F2E" w:rsidR="00DD2B81" w:rsidRPr="001A3823" w:rsidRDefault="001A3823" w:rsidP="00DD2B81">
      <w:pPr>
        <w:spacing w:after="0" w:line="240" w:lineRule="auto"/>
        <w:contextualSpacing/>
      </w:pPr>
      <w:r w:rsidRPr="001A3823">
        <w:t>No</w:t>
      </w:r>
    </w:p>
    <w:p w14:paraId="29A5EA2A" w14:textId="77777777" w:rsidR="00DD2B81" w:rsidRDefault="00DD2B81" w:rsidP="00DD2B81">
      <w:pPr>
        <w:spacing w:after="0" w:line="240" w:lineRule="auto"/>
        <w:contextualSpacing/>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4" w:name="_2.2.1._Highlights_of"/>
      <w:bookmarkEnd w:id="4"/>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4EB4DF8A" w14:textId="5F212EEE" w:rsidR="00DD2B81" w:rsidRDefault="00DD2B81" w:rsidP="00DD2B81">
      <w:pPr>
        <w:spacing w:after="0" w:line="240" w:lineRule="auto"/>
        <w:contextualSpacing/>
      </w:pPr>
    </w:p>
    <w:p w14:paraId="64E16CA4" w14:textId="2CA9571B" w:rsidR="00E47969" w:rsidRPr="001A3823" w:rsidRDefault="001A3823" w:rsidP="00DD2B81">
      <w:pPr>
        <w:spacing w:after="0" w:line="240" w:lineRule="auto"/>
        <w:contextualSpacing/>
      </w:pPr>
      <w:r w:rsidRPr="001A3823">
        <w:rPr>
          <w:bCs/>
        </w:rPr>
        <w:t>The Swedish Agricultural University (SLU) is leading the systematic review on the effects of GLDC groups on soil health. Key synthesized evidence from this work will be used to estimate GLDC’s contribution to SLO target 3.2.</w:t>
      </w:r>
    </w:p>
    <w:p w14:paraId="26160666" w14:textId="77777777" w:rsidR="00E47969" w:rsidRDefault="00E47969" w:rsidP="00DD2B81">
      <w:pPr>
        <w:spacing w:after="0" w:line="240" w:lineRule="auto"/>
        <w:contextualSpacing/>
      </w:pPr>
    </w:p>
    <w:p w14:paraId="0BF07E50" w14:textId="6BD87AE9" w:rsidR="00DD2B81" w:rsidRPr="00EE2DAE" w:rsidRDefault="00DD2B81" w:rsidP="00D81B2C">
      <w:pPr>
        <w:pStyle w:val="Heading3"/>
        <w:rPr>
          <w:u w:val="single"/>
        </w:rPr>
      </w:pPr>
      <w:bookmarkStart w:id="5" w:name="_2.2.2._Cross-CGIAR_Partnerships"/>
      <w:bookmarkEnd w:id="5"/>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242A79FD" w14:textId="77777777" w:rsidR="00DD2B81" w:rsidRPr="001A3823" w:rsidRDefault="00DD2B81" w:rsidP="00DD2B81">
      <w:pPr>
        <w:spacing w:after="0" w:line="240" w:lineRule="auto"/>
        <w:contextualSpacing/>
      </w:pPr>
    </w:p>
    <w:p w14:paraId="73D74E55" w14:textId="54C257EC" w:rsidR="00DD2B81" w:rsidRPr="001A3823" w:rsidRDefault="001A3823" w:rsidP="00DD2B81">
      <w:pPr>
        <w:spacing w:after="0" w:line="240" w:lineRule="auto"/>
        <w:contextualSpacing/>
      </w:pPr>
      <w:r w:rsidRPr="001A3823">
        <w:t>Not applicable</w:t>
      </w:r>
    </w:p>
    <w:p w14:paraId="4B830358" w14:textId="77777777" w:rsidR="00DD2B81" w:rsidRDefault="00DD2B81" w:rsidP="00DD2B81">
      <w:pPr>
        <w:spacing w:after="0" w:line="240" w:lineRule="auto"/>
        <w:contextualSpacing/>
      </w:pPr>
    </w:p>
    <w:p w14:paraId="7C243064" w14:textId="4ECFBDAB" w:rsidR="00DD2B81" w:rsidRPr="00EE2DAE" w:rsidRDefault="00DD2B81" w:rsidP="00D81B2C">
      <w:pPr>
        <w:pStyle w:val="Heading3"/>
        <w:rPr>
          <w:u w:val="single"/>
        </w:rPr>
      </w:pPr>
      <w:bookmarkStart w:id="6" w:name="_2.7_Use_of"/>
      <w:bookmarkStart w:id="7" w:name="_2.7._Use_of"/>
      <w:bookmarkEnd w:id="6"/>
      <w:bookmarkEnd w:id="7"/>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4FA0D941" w14:textId="5DD545A1" w:rsidR="00FF6D4B" w:rsidRPr="00140705" w:rsidRDefault="001A3823" w:rsidP="00DD2B81">
      <w:pPr>
        <w:spacing w:after="0" w:line="240" w:lineRule="auto"/>
        <w:contextualSpacing/>
      </w:pPr>
      <w:r w:rsidRPr="00140705">
        <w:t>Given that the</w:t>
      </w:r>
      <w:r w:rsidR="00140705" w:rsidRPr="00140705">
        <w:t xml:space="preserve"> GLDC</w:t>
      </w:r>
      <w:r w:rsidRPr="00140705">
        <w:t xml:space="preserve"> impact estimation strategy </w:t>
      </w:r>
      <w:r w:rsidR="00140705" w:rsidRPr="00140705">
        <w:t xml:space="preserve">is focusing on GLDC itself, it is funded entirely through W1 funds. </w:t>
      </w:r>
    </w:p>
    <w:p w14:paraId="49E74EA4" w14:textId="77777777" w:rsidR="002C6F71" w:rsidRDefault="002C6F71" w:rsidP="00DD2B81">
      <w:pPr>
        <w:spacing w:after="0" w:line="240" w:lineRule="auto"/>
        <w:contextualSpacing/>
      </w:pPr>
    </w:p>
    <w:p w14:paraId="02077DB4" w14:textId="77777777" w:rsidR="002C6F71" w:rsidRDefault="002C6F71" w:rsidP="00DD2B81">
      <w:pPr>
        <w:spacing w:after="0" w:line="240" w:lineRule="auto"/>
        <w:contextualSpacing/>
      </w:pPr>
    </w:p>
    <w:p w14:paraId="144E1153" w14:textId="6F6E4747" w:rsidR="002C6F71" w:rsidRPr="003C0E6F" w:rsidRDefault="002C6F71" w:rsidP="00DD2B81">
      <w:pPr>
        <w:spacing w:after="0" w:line="240" w:lineRule="auto"/>
        <w:contextualSpacing/>
        <w:rPr>
          <w:color w:val="0000FF"/>
        </w:rPr>
        <w:sectPr w:rsidR="002C6F71" w:rsidRPr="003C0E6F" w:rsidSect="00DD2B81">
          <w:headerReference w:type="default" r:id="rId9"/>
          <w:headerReference w:type="first" r:id="rId10"/>
          <w:pgSz w:w="11906" w:h="16838" w:code="9"/>
          <w:pgMar w:top="1411" w:right="1699" w:bottom="1411" w:left="1699" w:header="720" w:footer="720" w:gutter="0"/>
          <w:cols w:space="720"/>
          <w:titlePg/>
          <w:docGrid w:linePitch="360"/>
        </w:sectPr>
      </w:pPr>
      <w:bookmarkStart w:id="8" w:name="_Hlk59210292"/>
      <w:r w:rsidRPr="003C0E6F">
        <w:rPr>
          <w:color w:val="0000FF"/>
        </w:rPr>
        <w:t xml:space="preserve">Note: Please ensure that all 2020 published journal  articles within your cluster are reported to  MEL Platform.  It is reported to MEL towards a deliverable, and can be done following this </w:t>
      </w:r>
      <w:hyperlink r:id="rId11" w:history="1">
        <w:r w:rsidRPr="003C0E6F">
          <w:rPr>
            <w:rStyle w:val="Hyperlink"/>
            <w:color w:val="0000FF"/>
          </w:rPr>
          <w:t>guide</w:t>
        </w:r>
      </w:hyperlink>
      <w:r w:rsidRPr="003C0E6F">
        <w:rPr>
          <w:color w:val="0000FF"/>
        </w:rPr>
        <w:t>. Journal articles are to be reported in MEL with a DOI for ISI/SCOPUS Journal Articles and with a Handle link for Grey Literature.</w:t>
      </w:r>
    </w:p>
    <w:bookmarkEnd w:id="8"/>
    <w:p w14:paraId="33AB3B54" w14:textId="5CA5BEB1" w:rsidR="00DD2B81" w:rsidRPr="00FF6D4B" w:rsidRDefault="00FF6D4B" w:rsidP="00FF6D4B">
      <w:pPr>
        <w:pStyle w:val="Heading2"/>
        <w:rPr>
          <w:b/>
          <w:bCs/>
          <w:color w:val="00B050"/>
        </w:rPr>
      </w:pPr>
      <w:r w:rsidRPr="00FF6D4B">
        <w:rPr>
          <w:b/>
          <w:bCs/>
          <w:color w:val="00B050"/>
        </w:rPr>
        <w:lastRenderedPageBreak/>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9" w:name="_Table_1._Evidence"/>
      <w:bookmarkEnd w:id="9"/>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626BF1">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r>
              <w:rPr>
                <w:b/>
              </w:rPr>
              <w:t>Brief summary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626BF1">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626BF1">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SLO1 : Reduce Poverty</w:t>
            </w:r>
          </w:p>
        </w:tc>
      </w:tr>
      <w:tr w:rsidR="000E3E80" w14:paraId="1EA03E8C" w14:textId="77777777" w:rsidTr="005C054D">
        <w:trPr>
          <w:trHeight w:val="1040"/>
        </w:trPr>
        <w:tc>
          <w:tcPr>
            <w:tcW w:w="3695" w:type="dxa"/>
            <w:shd w:val="clear" w:color="auto" w:fill="E2EFD9" w:themeFill="accent6" w:themeFillTint="33"/>
          </w:tcPr>
          <w:p w14:paraId="5A262A1F" w14:textId="77777777" w:rsidR="000E3E80" w:rsidRDefault="000E3E80" w:rsidP="00626BF1">
            <w:pPr>
              <w:pStyle w:val="TableParagraph"/>
              <w:spacing w:before="102" w:line="276" w:lineRule="auto"/>
              <w:ind w:left="100" w:right="208"/>
              <w:rPr>
                <w:b/>
                <w:sz w:val="20"/>
              </w:rPr>
            </w:pPr>
            <w:r>
              <w:rPr>
                <w:b/>
                <w:sz w:val="20"/>
              </w:rPr>
              <w:t xml:space="preserve">1.1. ADOPTION </w:t>
            </w:r>
            <w:r>
              <w:rPr>
                <w:sz w:val="20"/>
              </w:rPr>
              <w:t>: 100 million more farm households have adopted improved varieties, breeds, trees, and/or management practices</w:t>
            </w:r>
          </w:p>
        </w:tc>
        <w:tc>
          <w:tcPr>
            <w:tcW w:w="4748" w:type="dxa"/>
          </w:tcPr>
          <w:p w14:paraId="052AD7CF" w14:textId="492C7B71" w:rsidR="000E3E80" w:rsidRPr="00176405" w:rsidRDefault="00AF0CC0" w:rsidP="00626BF1">
            <w:pPr>
              <w:pStyle w:val="TableParagraph"/>
              <w:rPr>
                <w:rFonts w:ascii="Times New Roman"/>
                <w:sz w:val="20"/>
              </w:rPr>
            </w:pPr>
            <w:r>
              <w:rPr>
                <w:rFonts w:ascii="Times New Roman"/>
                <w:sz w:val="20"/>
              </w:rPr>
              <w:t>One key component of GLDC</w:t>
            </w:r>
            <w:r>
              <w:rPr>
                <w:rFonts w:ascii="Times New Roman"/>
                <w:sz w:val="20"/>
              </w:rPr>
              <w:t>’</w:t>
            </w:r>
            <w:r>
              <w:rPr>
                <w:rFonts w:ascii="Times New Roman"/>
                <w:sz w:val="20"/>
              </w:rPr>
              <w:t>s impact estimation strategy is to synthesize all exis</w:t>
            </w:r>
            <w:r w:rsidR="00021F64">
              <w:rPr>
                <w:rFonts w:ascii="Times New Roman"/>
                <w:sz w:val="20"/>
              </w:rPr>
              <w:t xml:space="preserve">ting evidence of the adoption of improved GLDC studies. </w:t>
            </w:r>
            <w:r w:rsidR="00BC151F">
              <w:rPr>
                <w:rFonts w:ascii="Times New Roman"/>
                <w:sz w:val="20"/>
              </w:rPr>
              <w:t>Provisional estimates were generated at the end of 2020</w:t>
            </w:r>
            <w:r w:rsidR="00DC20EE">
              <w:rPr>
                <w:rFonts w:ascii="Times New Roman"/>
                <w:sz w:val="20"/>
              </w:rPr>
              <w:t xml:space="preserve">. </w:t>
            </w:r>
            <w:r w:rsidR="00176405">
              <w:rPr>
                <w:rFonts w:ascii="Times New Roman"/>
                <w:sz w:val="20"/>
              </w:rPr>
              <w:t xml:space="preserve">From the results from completed adoption studies, it is estimated that </w:t>
            </w:r>
            <w:r w:rsidR="00176405">
              <w:rPr>
                <w:b/>
                <w:bCs/>
                <w:color w:val="000000"/>
              </w:rPr>
              <w:t>46,559,683</w:t>
            </w:r>
            <w:r w:rsidR="00176405">
              <w:rPr>
                <w:b/>
                <w:bCs/>
                <w:color w:val="000000"/>
              </w:rPr>
              <w:t xml:space="preserve"> </w:t>
            </w:r>
            <w:r w:rsidR="00176405">
              <w:rPr>
                <w:bCs/>
                <w:color w:val="000000"/>
              </w:rPr>
              <w:t>households have adopted improved GLDC varieties</w:t>
            </w:r>
            <w:r w:rsidR="00133F6B">
              <w:rPr>
                <w:bCs/>
                <w:color w:val="000000"/>
              </w:rPr>
              <w:t xml:space="preserve"> in GLDC’s 13 target countries</w:t>
            </w:r>
            <w:r w:rsidR="00176405">
              <w:rPr>
                <w:bCs/>
                <w:color w:val="000000"/>
              </w:rPr>
              <w:t xml:space="preserve">, with </w:t>
            </w:r>
            <w:r w:rsidR="00352CA1">
              <w:rPr>
                <w:b/>
                <w:bCs/>
                <w:color w:val="000000"/>
              </w:rPr>
              <w:t>15,458,870</w:t>
            </w:r>
            <w:r w:rsidR="00176405">
              <w:rPr>
                <w:bCs/>
                <w:color w:val="000000"/>
              </w:rPr>
              <w:t xml:space="preserve"> additional households doing so from 2011 onwards. </w:t>
            </w:r>
          </w:p>
        </w:tc>
        <w:tc>
          <w:tcPr>
            <w:tcW w:w="2859" w:type="dxa"/>
          </w:tcPr>
          <w:p w14:paraId="57A5CCEE" w14:textId="054A73AD" w:rsidR="000E3E80" w:rsidRDefault="00021F64" w:rsidP="00626BF1">
            <w:pPr>
              <w:pStyle w:val="TableParagraph"/>
              <w:rPr>
                <w:rFonts w:ascii="Times New Roman"/>
                <w:sz w:val="20"/>
              </w:rPr>
            </w:pPr>
            <w:r>
              <w:rPr>
                <w:rFonts w:ascii="Times New Roman"/>
                <w:sz w:val="20"/>
              </w:rPr>
              <w:t xml:space="preserve">The study will be completed in the first quarter of 2021 and released initially as a working paper followed by journal submission. </w:t>
            </w:r>
          </w:p>
        </w:tc>
        <w:tc>
          <w:tcPr>
            <w:tcW w:w="2861" w:type="dxa"/>
          </w:tcPr>
          <w:p w14:paraId="0EB3B12A" w14:textId="5B687A10" w:rsidR="000E3E80" w:rsidRDefault="00021F64" w:rsidP="00626BF1">
            <w:pPr>
              <w:pStyle w:val="TableParagraph"/>
              <w:rPr>
                <w:rFonts w:ascii="Times New Roman"/>
                <w:sz w:val="20"/>
              </w:rPr>
            </w:pPr>
            <w:r>
              <w:rPr>
                <w:rFonts w:ascii="Times New Roman"/>
                <w:sz w:val="20"/>
              </w:rPr>
              <w:t>Africa and Asia</w:t>
            </w:r>
          </w:p>
        </w:tc>
      </w:tr>
      <w:tr w:rsidR="000E3E80" w14:paraId="5EDA2284" w14:textId="77777777" w:rsidTr="005C054D">
        <w:trPr>
          <w:trHeight w:val="1040"/>
        </w:trPr>
        <w:tc>
          <w:tcPr>
            <w:tcW w:w="3695" w:type="dxa"/>
            <w:shd w:val="clear" w:color="auto" w:fill="E2EFD9" w:themeFill="accent6" w:themeFillTint="33"/>
          </w:tcPr>
          <w:p w14:paraId="048C53BC" w14:textId="77777777" w:rsidR="000E3E80" w:rsidRDefault="000E3E80" w:rsidP="00626BF1">
            <w:pPr>
              <w:pStyle w:val="TableParagraph"/>
              <w:spacing w:before="102" w:line="276" w:lineRule="auto"/>
              <w:ind w:left="100" w:right="208"/>
              <w:rPr>
                <w:sz w:val="20"/>
              </w:rPr>
            </w:pPr>
            <w:r>
              <w:rPr>
                <w:b/>
                <w:sz w:val="20"/>
              </w:rPr>
              <w:t xml:space="preserve">1.2. EXIT POVERTY </w:t>
            </w:r>
            <w:r>
              <w:rPr>
                <w:sz w:val="20"/>
              </w:rPr>
              <w:t>: 30 million people, of which 50% are women, assisted to exit poverty</w:t>
            </w:r>
          </w:p>
        </w:tc>
        <w:tc>
          <w:tcPr>
            <w:tcW w:w="4748" w:type="dxa"/>
          </w:tcPr>
          <w:p w14:paraId="167502BB" w14:textId="5BE16798" w:rsidR="000E3E80" w:rsidRDefault="00021F64" w:rsidP="00626BF1">
            <w:pPr>
              <w:pStyle w:val="TableParagraph"/>
              <w:rPr>
                <w:rFonts w:ascii="Times New Roman"/>
                <w:sz w:val="20"/>
              </w:rPr>
            </w:pPr>
            <w:r>
              <w:rPr>
                <w:rFonts w:ascii="Times New Roman"/>
                <w:sz w:val="20"/>
              </w:rPr>
              <w:t>This is another component of GLDC</w:t>
            </w:r>
            <w:r>
              <w:rPr>
                <w:rFonts w:ascii="Times New Roman"/>
                <w:sz w:val="20"/>
              </w:rPr>
              <w:t>’</w:t>
            </w:r>
            <w:r>
              <w:rPr>
                <w:rFonts w:ascii="Times New Roman"/>
                <w:sz w:val="20"/>
              </w:rPr>
              <w:t>s impact estimation strategy and a key focus of Cluster 1.4</w:t>
            </w:r>
            <w:r>
              <w:rPr>
                <w:rFonts w:ascii="Times New Roman"/>
                <w:sz w:val="20"/>
              </w:rPr>
              <w:t>’</w:t>
            </w:r>
            <w:r>
              <w:rPr>
                <w:rFonts w:ascii="Times New Roman"/>
                <w:sz w:val="20"/>
              </w:rPr>
              <w:t xml:space="preserve">s work in 2021. </w:t>
            </w:r>
            <w:r w:rsidR="00FC0A77">
              <w:rPr>
                <w:rFonts w:ascii="Times New Roman"/>
                <w:sz w:val="20"/>
              </w:rPr>
              <w:t>However, two impact studies were carried out</w:t>
            </w:r>
            <w:r w:rsidR="00133F6B">
              <w:rPr>
                <w:rFonts w:ascii="Times New Roman"/>
                <w:sz w:val="20"/>
              </w:rPr>
              <w:t xml:space="preserve"> in 2020 that </w:t>
            </w:r>
            <w:r w:rsidR="002402FA">
              <w:rPr>
                <w:rFonts w:ascii="Times New Roman"/>
                <w:sz w:val="20"/>
              </w:rPr>
              <w:t xml:space="preserve">evidence that </w:t>
            </w:r>
            <w:r w:rsidR="000E34AB" w:rsidRPr="00352CA1">
              <w:rPr>
                <w:rFonts w:ascii="Times New Roman"/>
                <w:b/>
                <w:sz w:val="20"/>
              </w:rPr>
              <w:t xml:space="preserve">2,136,600 </w:t>
            </w:r>
            <w:r w:rsidR="000E34AB">
              <w:rPr>
                <w:rFonts w:ascii="Times New Roman"/>
                <w:sz w:val="20"/>
              </w:rPr>
              <w:t xml:space="preserve">people </w:t>
            </w:r>
            <w:r w:rsidR="002402FA">
              <w:rPr>
                <w:rFonts w:ascii="Times New Roman"/>
                <w:sz w:val="20"/>
              </w:rPr>
              <w:t>have been assisted to exit poverty in Nigeria and Bangladesh through the adoption of improved groundnut and lentil varieties, respectively.</w:t>
            </w:r>
          </w:p>
        </w:tc>
        <w:tc>
          <w:tcPr>
            <w:tcW w:w="2859" w:type="dxa"/>
          </w:tcPr>
          <w:p w14:paraId="21F67296" w14:textId="6BB4B527" w:rsidR="000E3E80" w:rsidRDefault="00021F64" w:rsidP="00626BF1">
            <w:pPr>
              <w:pStyle w:val="TableParagraph"/>
              <w:rPr>
                <w:rFonts w:ascii="Times New Roman"/>
                <w:sz w:val="20"/>
              </w:rPr>
            </w:pPr>
            <w:r>
              <w:rPr>
                <w:rFonts w:ascii="Times New Roman"/>
                <w:sz w:val="20"/>
              </w:rPr>
              <w:t>Th</w:t>
            </w:r>
            <w:r w:rsidR="002402FA">
              <w:rPr>
                <w:rFonts w:ascii="Times New Roman"/>
                <w:sz w:val="20"/>
              </w:rPr>
              <w:t xml:space="preserve">e impact estimation of GLDC varieties on </w:t>
            </w:r>
            <w:r w:rsidR="00352CA1">
              <w:rPr>
                <w:rFonts w:ascii="Times New Roman"/>
                <w:sz w:val="20"/>
              </w:rPr>
              <w:t xml:space="preserve">the existing poverty target </w:t>
            </w:r>
            <w:r>
              <w:rPr>
                <w:rFonts w:ascii="Times New Roman"/>
                <w:sz w:val="20"/>
              </w:rPr>
              <w:t xml:space="preserve">will be completed as a working paper in 2021 and submitted as a journal article. </w:t>
            </w:r>
          </w:p>
        </w:tc>
        <w:tc>
          <w:tcPr>
            <w:tcW w:w="2861" w:type="dxa"/>
          </w:tcPr>
          <w:p w14:paraId="0696B63E" w14:textId="521FACC6" w:rsidR="000E3E80" w:rsidRDefault="00021F64" w:rsidP="00626BF1">
            <w:pPr>
              <w:pStyle w:val="TableParagraph"/>
              <w:rPr>
                <w:rFonts w:ascii="Times New Roman"/>
                <w:sz w:val="20"/>
              </w:rPr>
            </w:pPr>
            <w:r>
              <w:rPr>
                <w:rFonts w:ascii="Times New Roman"/>
                <w:sz w:val="20"/>
              </w:rPr>
              <w:t>Africa and Asia</w:t>
            </w:r>
          </w:p>
        </w:tc>
      </w:tr>
      <w:tr w:rsidR="000E3E80" w14:paraId="33AE855D" w14:textId="77777777" w:rsidTr="00626BF1">
        <w:trPr>
          <w:trHeight w:val="510"/>
        </w:trPr>
        <w:tc>
          <w:tcPr>
            <w:tcW w:w="14163" w:type="dxa"/>
            <w:gridSpan w:val="4"/>
            <w:shd w:val="clear" w:color="auto" w:fill="EDEDED" w:themeFill="accent3" w:themeFillTint="33"/>
          </w:tcPr>
          <w:p w14:paraId="716B126B" w14:textId="77777777" w:rsidR="000E3E80" w:rsidRDefault="000E3E80" w:rsidP="00626BF1">
            <w:pPr>
              <w:pStyle w:val="TableParagraph"/>
              <w:spacing w:before="99"/>
              <w:ind w:left="4408" w:right="4394"/>
              <w:jc w:val="center"/>
              <w:rPr>
                <w:b/>
              </w:rPr>
            </w:pPr>
            <w:r>
              <w:rPr>
                <w:b/>
              </w:rPr>
              <w:lastRenderedPageBreak/>
              <w:t>SLO2 : Improve Food and Nutrition Security for Health</w:t>
            </w:r>
          </w:p>
        </w:tc>
      </w:tr>
      <w:tr w:rsidR="000E3E80" w14:paraId="72CC3DB7" w14:textId="77777777" w:rsidTr="005C054D">
        <w:trPr>
          <w:trHeight w:val="1041"/>
        </w:trPr>
        <w:tc>
          <w:tcPr>
            <w:tcW w:w="3695" w:type="dxa"/>
            <w:shd w:val="clear" w:color="auto" w:fill="E2EFD9" w:themeFill="accent6" w:themeFillTint="33"/>
          </w:tcPr>
          <w:p w14:paraId="493F093E" w14:textId="77777777" w:rsidR="000E3E80" w:rsidRDefault="000E3E80" w:rsidP="00626BF1">
            <w:pPr>
              <w:pStyle w:val="TableParagraph"/>
              <w:spacing w:before="102" w:line="276" w:lineRule="auto"/>
              <w:ind w:left="100" w:right="162"/>
              <w:jc w:val="both"/>
              <w:rPr>
                <w:sz w:val="20"/>
              </w:rPr>
            </w:pPr>
            <w:r>
              <w:rPr>
                <w:b/>
                <w:sz w:val="20"/>
              </w:rPr>
              <w:t xml:space="preserve">2.1. YIELD INCREASE : </w:t>
            </w:r>
            <w:r>
              <w:rPr>
                <w:sz w:val="20"/>
              </w:rPr>
              <w:t>Improve the rate of yield increase for major food staples from current &lt;1% to 1.2-1.5% per year</w:t>
            </w:r>
          </w:p>
        </w:tc>
        <w:tc>
          <w:tcPr>
            <w:tcW w:w="4748" w:type="dxa"/>
          </w:tcPr>
          <w:p w14:paraId="12525BCE" w14:textId="5EAF472D" w:rsidR="000E3E80" w:rsidRDefault="00021F64" w:rsidP="00626BF1">
            <w:pPr>
              <w:pStyle w:val="TableParagraph"/>
              <w:rPr>
                <w:rFonts w:ascii="Times New Roman"/>
                <w:sz w:val="20"/>
              </w:rPr>
            </w:pPr>
            <w:r>
              <w:rPr>
                <w:rFonts w:ascii="Times New Roman"/>
                <w:sz w:val="20"/>
              </w:rPr>
              <w:t xml:space="preserve">Focus of 2021, which </w:t>
            </w:r>
            <w:r w:rsidR="00302E66">
              <w:rPr>
                <w:rFonts w:ascii="Times New Roman"/>
                <w:sz w:val="20"/>
              </w:rPr>
              <w:t xml:space="preserve">build on FP4 breeding evidence and combine this with the above adoption evidence. </w:t>
            </w:r>
          </w:p>
        </w:tc>
        <w:tc>
          <w:tcPr>
            <w:tcW w:w="2859" w:type="dxa"/>
          </w:tcPr>
          <w:p w14:paraId="7C989DDD" w14:textId="77777777" w:rsidR="000E3E80" w:rsidRDefault="000E3E80" w:rsidP="00626BF1">
            <w:pPr>
              <w:pStyle w:val="TableParagraph"/>
              <w:rPr>
                <w:rFonts w:ascii="Times New Roman"/>
                <w:sz w:val="20"/>
              </w:rPr>
            </w:pPr>
          </w:p>
        </w:tc>
        <w:tc>
          <w:tcPr>
            <w:tcW w:w="2861" w:type="dxa"/>
          </w:tcPr>
          <w:p w14:paraId="05ED11B0" w14:textId="7D50F069" w:rsidR="000E3E80" w:rsidRDefault="006F7174" w:rsidP="00626BF1">
            <w:pPr>
              <w:pStyle w:val="TableParagraph"/>
              <w:rPr>
                <w:rFonts w:ascii="Times New Roman"/>
                <w:sz w:val="20"/>
              </w:rPr>
            </w:pPr>
            <w:r>
              <w:rPr>
                <w:rFonts w:ascii="Times New Roman"/>
                <w:sz w:val="20"/>
              </w:rPr>
              <w:t>Africa and Asia</w:t>
            </w:r>
          </w:p>
        </w:tc>
      </w:tr>
      <w:tr w:rsidR="000E3E80" w14:paraId="2E04A6EA" w14:textId="77777777" w:rsidTr="005C054D">
        <w:trPr>
          <w:trHeight w:val="1324"/>
        </w:trPr>
        <w:tc>
          <w:tcPr>
            <w:tcW w:w="3695" w:type="dxa"/>
            <w:shd w:val="clear" w:color="auto" w:fill="E2EFD9" w:themeFill="accent6" w:themeFillTint="33"/>
          </w:tcPr>
          <w:p w14:paraId="206878D6" w14:textId="77777777" w:rsidR="000E3E80" w:rsidRDefault="000E3E80" w:rsidP="00626BF1">
            <w:pPr>
              <w:pStyle w:val="TableParagraph"/>
              <w:spacing w:before="102" w:line="276" w:lineRule="auto"/>
              <w:ind w:left="100" w:right="64"/>
              <w:rPr>
                <w:sz w:val="20"/>
              </w:rPr>
            </w:pPr>
            <w:r>
              <w:rPr>
                <w:b/>
                <w:sz w:val="20"/>
              </w:rPr>
              <w:t xml:space="preserve">2.2. MINIMUM DIETARY REQUIREMENTS </w:t>
            </w:r>
            <w:r>
              <w:rPr>
                <w:sz w:val="20"/>
              </w:rPr>
              <w:t>: 30 million more people, of which 50% are women, meeting minimum dietary energy requirements</w:t>
            </w:r>
          </w:p>
        </w:tc>
        <w:tc>
          <w:tcPr>
            <w:tcW w:w="4748" w:type="dxa"/>
          </w:tcPr>
          <w:p w14:paraId="62F07E2F" w14:textId="3B2E08F6" w:rsidR="000E3E80" w:rsidRDefault="00302E66" w:rsidP="00626BF1">
            <w:pPr>
              <w:pStyle w:val="TableParagraph"/>
              <w:rPr>
                <w:rFonts w:ascii="Times New Roman"/>
                <w:sz w:val="20"/>
              </w:rPr>
            </w:pPr>
            <w:r>
              <w:rPr>
                <w:rFonts w:ascii="Times New Roman"/>
                <w:sz w:val="20"/>
              </w:rPr>
              <w:t>Another key component of GLDC</w:t>
            </w:r>
            <w:r>
              <w:rPr>
                <w:rFonts w:ascii="Times New Roman"/>
                <w:sz w:val="20"/>
              </w:rPr>
              <w:t>’</w:t>
            </w:r>
            <w:r>
              <w:rPr>
                <w:rFonts w:ascii="Times New Roman"/>
                <w:sz w:val="20"/>
              </w:rPr>
              <w:t xml:space="preserve">s impact estimation strategy. Protocol developed in 2020, plus initial analysis. The piece builds on the synthesis of adoption evidence described under 1.1. </w:t>
            </w:r>
          </w:p>
        </w:tc>
        <w:tc>
          <w:tcPr>
            <w:tcW w:w="2859" w:type="dxa"/>
          </w:tcPr>
          <w:p w14:paraId="3F25C61D" w14:textId="77777777" w:rsidR="000E3E80" w:rsidRDefault="000E3E80" w:rsidP="00626BF1">
            <w:pPr>
              <w:pStyle w:val="TableParagraph"/>
              <w:rPr>
                <w:rFonts w:ascii="Times New Roman"/>
                <w:sz w:val="20"/>
              </w:rPr>
            </w:pPr>
          </w:p>
        </w:tc>
        <w:tc>
          <w:tcPr>
            <w:tcW w:w="2861" w:type="dxa"/>
          </w:tcPr>
          <w:p w14:paraId="272E15BC" w14:textId="2523F544" w:rsidR="000E3E80" w:rsidRDefault="006F7174" w:rsidP="00626BF1">
            <w:pPr>
              <w:pStyle w:val="TableParagraph"/>
              <w:rPr>
                <w:rFonts w:ascii="Times New Roman"/>
                <w:sz w:val="20"/>
              </w:rPr>
            </w:pPr>
            <w:r>
              <w:rPr>
                <w:rFonts w:ascii="Times New Roman"/>
                <w:sz w:val="20"/>
              </w:rPr>
              <w:t>Africa and Asia</w:t>
            </w:r>
          </w:p>
        </w:tc>
      </w:tr>
      <w:tr w:rsidR="000E3E80" w14:paraId="284AF418" w14:textId="77777777" w:rsidTr="005C054D">
        <w:trPr>
          <w:trHeight w:val="1494"/>
        </w:trPr>
        <w:tc>
          <w:tcPr>
            <w:tcW w:w="3695" w:type="dxa"/>
            <w:shd w:val="clear" w:color="auto" w:fill="E2EFD9" w:themeFill="accent6" w:themeFillTint="33"/>
          </w:tcPr>
          <w:p w14:paraId="03841BC7" w14:textId="77777777" w:rsidR="000E3E80" w:rsidRDefault="000E3E80" w:rsidP="00626BF1">
            <w:pPr>
              <w:pStyle w:val="TableParagraph"/>
              <w:spacing w:before="5"/>
              <w:rPr>
                <w:sz w:val="15"/>
              </w:rPr>
            </w:pPr>
          </w:p>
          <w:p w14:paraId="7E2A60AE" w14:textId="77777777" w:rsidR="000E3E80" w:rsidRDefault="000E3E80" w:rsidP="00626BF1">
            <w:pPr>
              <w:pStyle w:val="TableParagraph"/>
              <w:spacing w:line="276" w:lineRule="auto"/>
              <w:ind w:left="100" w:right="161"/>
              <w:rPr>
                <w:sz w:val="20"/>
              </w:rPr>
            </w:pPr>
            <w:r>
              <w:rPr>
                <w:b/>
                <w:sz w:val="20"/>
              </w:rPr>
              <w:t xml:space="preserve">2.3. MICRONUTRIENT DEFICIENCIES </w:t>
            </w:r>
            <w:r>
              <w:rPr>
                <w:sz w:val="20"/>
              </w:rPr>
              <w:t>: 150 million more people, of which 50% are women, without deficiencies in one or more essential micronutrients</w:t>
            </w:r>
          </w:p>
        </w:tc>
        <w:tc>
          <w:tcPr>
            <w:tcW w:w="4748" w:type="dxa"/>
          </w:tcPr>
          <w:p w14:paraId="3ACBE6AD" w14:textId="594E930E" w:rsidR="000E3E80" w:rsidRDefault="00302E66" w:rsidP="00626BF1">
            <w:pPr>
              <w:pStyle w:val="TableParagraph"/>
              <w:rPr>
                <w:rFonts w:ascii="Times New Roman"/>
                <w:sz w:val="20"/>
              </w:rPr>
            </w:pPr>
            <w:r>
              <w:rPr>
                <w:rFonts w:ascii="Times New Roman"/>
                <w:sz w:val="20"/>
              </w:rPr>
              <w:t>Same as 2</w:t>
            </w:r>
            <w:bookmarkStart w:id="10" w:name="_GoBack"/>
            <w:bookmarkEnd w:id="10"/>
            <w:r>
              <w:rPr>
                <w:rFonts w:ascii="Times New Roman"/>
                <w:sz w:val="20"/>
              </w:rPr>
              <w:t xml:space="preserve">.2. </w:t>
            </w:r>
          </w:p>
        </w:tc>
        <w:tc>
          <w:tcPr>
            <w:tcW w:w="2859" w:type="dxa"/>
          </w:tcPr>
          <w:p w14:paraId="3B5D513E" w14:textId="77777777" w:rsidR="000E3E80" w:rsidRDefault="000E3E80" w:rsidP="00626BF1">
            <w:pPr>
              <w:pStyle w:val="TableParagraph"/>
              <w:rPr>
                <w:rFonts w:ascii="Times New Roman"/>
                <w:sz w:val="20"/>
              </w:rPr>
            </w:pPr>
          </w:p>
        </w:tc>
        <w:tc>
          <w:tcPr>
            <w:tcW w:w="2861" w:type="dxa"/>
          </w:tcPr>
          <w:p w14:paraId="06027B90" w14:textId="6F84F4C3" w:rsidR="000E3E80" w:rsidRDefault="006F7174" w:rsidP="00626BF1">
            <w:pPr>
              <w:pStyle w:val="TableParagraph"/>
              <w:rPr>
                <w:rFonts w:ascii="Times New Roman"/>
                <w:sz w:val="20"/>
              </w:rPr>
            </w:pPr>
            <w:r>
              <w:rPr>
                <w:rFonts w:ascii="Times New Roman"/>
                <w:sz w:val="20"/>
              </w:rPr>
              <w:t>Africa and Asia</w:t>
            </w:r>
          </w:p>
        </w:tc>
      </w:tr>
      <w:tr w:rsidR="000E3E80" w14:paraId="61B28F69" w14:textId="77777777" w:rsidTr="00626BF1">
        <w:trPr>
          <w:trHeight w:val="508"/>
        </w:trPr>
        <w:tc>
          <w:tcPr>
            <w:tcW w:w="14163" w:type="dxa"/>
            <w:gridSpan w:val="4"/>
            <w:shd w:val="clear" w:color="auto" w:fill="EDEDED" w:themeFill="accent3" w:themeFillTint="33"/>
          </w:tcPr>
          <w:p w14:paraId="5E82F9B5" w14:textId="77777777" w:rsidR="000E3E80" w:rsidRDefault="000E3E80" w:rsidP="00626BF1">
            <w:pPr>
              <w:pStyle w:val="TableParagraph"/>
              <w:spacing w:before="99"/>
              <w:ind w:left="4409" w:right="4394"/>
              <w:jc w:val="center"/>
              <w:rPr>
                <w:b/>
              </w:rPr>
            </w:pPr>
            <w:r>
              <w:rPr>
                <w:b/>
              </w:rPr>
              <w:t>SLO3 : Improve Natural Resources and Ecosystem Services</w:t>
            </w:r>
          </w:p>
        </w:tc>
      </w:tr>
      <w:tr w:rsidR="000E3E80" w14:paraId="7B10307C" w14:textId="77777777" w:rsidTr="005C054D">
        <w:trPr>
          <w:trHeight w:val="1043"/>
        </w:trPr>
        <w:tc>
          <w:tcPr>
            <w:tcW w:w="3695" w:type="dxa"/>
            <w:shd w:val="clear" w:color="auto" w:fill="E2EFD9" w:themeFill="accent6" w:themeFillTint="33"/>
          </w:tcPr>
          <w:p w14:paraId="1A349640" w14:textId="77777777" w:rsidR="000E3E80" w:rsidRDefault="000E3E80" w:rsidP="00626BF1">
            <w:pPr>
              <w:pStyle w:val="TableParagraph"/>
              <w:spacing w:before="102" w:line="276" w:lineRule="auto"/>
              <w:ind w:left="100" w:right="161"/>
              <w:rPr>
                <w:sz w:val="20"/>
              </w:rPr>
            </w:pPr>
            <w:r>
              <w:rPr>
                <w:b/>
                <w:sz w:val="20"/>
              </w:rPr>
              <w:t xml:space="preserve">3.1. WATER AND NUTRIENT EFFICIENCY : </w:t>
            </w:r>
            <w:r>
              <w:rPr>
                <w:sz w:val="20"/>
              </w:rPr>
              <w:t>5% increase in water and nutrient efficiency in agroecosystems</w:t>
            </w:r>
          </w:p>
        </w:tc>
        <w:tc>
          <w:tcPr>
            <w:tcW w:w="4748" w:type="dxa"/>
          </w:tcPr>
          <w:p w14:paraId="6E74C653" w14:textId="77777777" w:rsidR="000E3E80" w:rsidRDefault="000E3E80" w:rsidP="00626BF1">
            <w:pPr>
              <w:pStyle w:val="TableParagraph"/>
              <w:rPr>
                <w:rFonts w:ascii="Times New Roman"/>
                <w:sz w:val="20"/>
              </w:rPr>
            </w:pPr>
          </w:p>
        </w:tc>
        <w:tc>
          <w:tcPr>
            <w:tcW w:w="2859" w:type="dxa"/>
          </w:tcPr>
          <w:p w14:paraId="10E95D62" w14:textId="77777777" w:rsidR="000E3E80" w:rsidRDefault="000E3E80" w:rsidP="00626BF1">
            <w:pPr>
              <w:pStyle w:val="TableParagraph"/>
              <w:rPr>
                <w:rFonts w:ascii="Times New Roman"/>
                <w:sz w:val="20"/>
              </w:rPr>
            </w:pPr>
          </w:p>
        </w:tc>
        <w:tc>
          <w:tcPr>
            <w:tcW w:w="2861" w:type="dxa"/>
          </w:tcPr>
          <w:p w14:paraId="63B03C8F" w14:textId="77777777" w:rsidR="000E3E80" w:rsidRDefault="000E3E80" w:rsidP="00626BF1">
            <w:pPr>
              <w:pStyle w:val="TableParagraph"/>
              <w:rPr>
                <w:rFonts w:ascii="Times New Roman"/>
                <w:sz w:val="20"/>
              </w:rPr>
            </w:pPr>
          </w:p>
        </w:tc>
      </w:tr>
      <w:tr w:rsidR="000E3E80" w14:paraId="2B5D0862" w14:textId="77777777" w:rsidTr="005C054D">
        <w:trPr>
          <w:trHeight w:val="1041"/>
        </w:trPr>
        <w:tc>
          <w:tcPr>
            <w:tcW w:w="3695" w:type="dxa"/>
            <w:shd w:val="clear" w:color="auto" w:fill="E2EFD9" w:themeFill="accent6" w:themeFillTint="33"/>
          </w:tcPr>
          <w:p w14:paraId="3720EC86" w14:textId="77777777" w:rsidR="000E3E80" w:rsidRDefault="000E3E80" w:rsidP="00626BF1">
            <w:pPr>
              <w:pStyle w:val="TableParagraph"/>
              <w:spacing w:before="102" w:line="276" w:lineRule="auto"/>
              <w:ind w:left="100" w:right="280"/>
              <w:rPr>
                <w:sz w:val="20"/>
              </w:rPr>
            </w:pPr>
            <w:r>
              <w:rPr>
                <w:b/>
                <w:sz w:val="20"/>
              </w:rPr>
              <w:t xml:space="preserve">3.2. REDUCED GREENHOUSE GAS EMISSION </w:t>
            </w:r>
            <w:r>
              <w:rPr>
                <w:sz w:val="20"/>
              </w:rPr>
              <w:t>: Reduction in ‘agriculturally’- related greenhouse gas emissions by 5%</w:t>
            </w:r>
          </w:p>
        </w:tc>
        <w:tc>
          <w:tcPr>
            <w:tcW w:w="4748" w:type="dxa"/>
          </w:tcPr>
          <w:p w14:paraId="051EA4AE" w14:textId="17F5868B" w:rsidR="000E3E80" w:rsidRDefault="00302E66" w:rsidP="00626BF1">
            <w:pPr>
              <w:pStyle w:val="TableParagraph"/>
              <w:rPr>
                <w:rFonts w:ascii="Times New Roman"/>
                <w:sz w:val="20"/>
              </w:rPr>
            </w:pPr>
            <w:r>
              <w:rPr>
                <w:rFonts w:ascii="Times New Roman"/>
                <w:sz w:val="20"/>
              </w:rPr>
              <w:t>Another key study being carried out under CoA 1.4</w:t>
            </w:r>
            <w:r>
              <w:rPr>
                <w:rFonts w:ascii="Times New Roman"/>
                <w:sz w:val="20"/>
              </w:rPr>
              <w:t>—</w:t>
            </w:r>
            <w:r>
              <w:rPr>
                <w:rFonts w:ascii="Times New Roman"/>
                <w:sz w:val="20"/>
              </w:rPr>
              <w:t>in collaboration with FP3</w:t>
            </w:r>
            <w:r>
              <w:rPr>
                <w:rFonts w:ascii="Times New Roman"/>
                <w:sz w:val="20"/>
              </w:rPr>
              <w:t>—</w:t>
            </w:r>
            <w:r>
              <w:rPr>
                <w:rFonts w:ascii="Times New Roman"/>
                <w:sz w:val="20"/>
              </w:rPr>
              <w:t xml:space="preserve">is systematic review of the effects of GLDC crops on soil health, including carbon sequestration. </w:t>
            </w:r>
            <w:r w:rsidR="006F7174">
              <w:rPr>
                <w:rFonts w:ascii="Times New Roman"/>
                <w:sz w:val="20"/>
              </w:rPr>
              <w:t xml:space="preserve">The review is well underway and a working paper focusing on carbon sequestration is to come out in the first quarter of 2021. </w:t>
            </w:r>
          </w:p>
        </w:tc>
        <w:tc>
          <w:tcPr>
            <w:tcW w:w="2859" w:type="dxa"/>
          </w:tcPr>
          <w:p w14:paraId="03A04C14" w14:textId="77777777" w:rsidR="000E3E80" w:rsidRDefault="000E3E80" w:rsidP="00626BF1">
            <w:pPr>
              <w:pStyle w:val="TableParagraph"/>
              <w:rPr>
                <w:rFonts w:ascii="Times New Roman"/>
                <w:sz w:val="20"/>
              </w:rPr>
            </w:pPr>
          </w:p>
        </w:tc>
        <w:tc>
          <w:tcPr>
            <w:tcW w:w="2861" w:type="dxa"/>
          </w:tcPr>
          <w:p w14:paraId="37935CD4" w14:textId="5AAECC7B" w:rsidR="000E3E80" w:rsidRDefault="006F7174" w:rsidP="00626BF1">
            <w:pPr>
              <w:pStyle w:val="TableParagraph"/>
              <w:rPr>
                <w:rFonts w:ascii="Times New Roman"/>
                <w:sz w:val="20"/>
              </w:rPr>
            </w:pPr>
            <w:r>
              <w:rPr>
                <w:rFonts w:ascii="Times New Roman"/>
                <w:sz w:val="20"/>
              </w:rPr>
              <w:t>Africa and Asia</w:t>
            </w:r>
          </w:p>
        </w:tc>
      </w:tr>
      <w:tr w:rsidR="000E3E80" w14:paraId="7D2335D6" w14:textId="77777777" w:rsidTr="005C054D">
        <w:trPr>
          <w:trHeight w:val="762"/>
        </w:trPr>
        <w:tc>
          <w:tcPr>
            <w:tcW w:w="3695" w:type="dxa"/>
            <w:shd w:val="clear" w:color="auto" w:fill="E2EFD9" w:themeFill="accent6" w:themeFillTint="33"/>
          </w:tcPr>
          <w:p w14:paraId="2B176980" w14:textId="77777777" w:rsidR="000E3E80" w:rsidRDefault="000E3E80" w:rsidP="00626BF1">
            <w:pPr>
              <w:pStyle w:val="TableParagraph"/>
              <w:spacing w:before="102" w:line="276" w:lineRule="auto"/>
              <w:ind w:left="100" w:right="467"/>
              <w:rPr>
                <w:sz w:val="20"/>
              </w:rPr>
            </w:pPr>
            <w:r>
              <w:rPr>
                <w:b/>
                <w:sz w:val="20"/>
              </w:rPr>
              <w:t xml:space="preserve">3.3. ECOSYSTEM RESTORED </w:t>
            </w:r>
            <w:r>
              <w:rPr>
                <w:sz w:val="20"/>
              </w:rPr>
              <w:t>: 55 M ha degraded land area restored</w:t>
            </w:r>
          </w:p>
        </w:tc>
        <w:tc>
          <w:tcPr>
            <w:tcW w:w="4748" w:type="dxa"/>
          </w:tcPr>
          <w:p w14:paraId="3C371B6F" w14:textId="77777777" w:rsidR="000E3E80" w:rsidRDefault="000E3E80" w:rsidP="00626BF1">
            <w:pPr>
              <w:pStyle w:val="TableParagraph"/>
              <w:rPr>
                <w:rFonts w:ascii="Times New Roman"/>
                <w:sz w:val="20"/>
              </w:rPr>
            </w:pPr>
          </w:p>
        </w:tc>
        <w:tc>
          <w:tcPr>
            <w:tcW w:w="2859" w:type="dxa"/>
          </w:tcPr>
          <w:p w14:paraId="29243330" w14:textId="77777777" w:rsidR="000E3E80" w:rsidRDefault="000E3E80" w:rsidP="00626BF1">
            <w:pPr>
              <w:pStyle w:val="TableParagraph"/>
              <w:rPr>
                <w:rFonts w:ascii="Times New Roman"/>
                <w:sz w:val="20"/>
              </w:rPr>
            </w:pPr>
          </w:p>
        </w:tc>
        <w:tc>
          <w:tcPr>
            <w:tcW w:w="2861" w:type="dxa"/>
          </w:tcPr>
          <w:p w14:paraId="6CCC8550" w14:textId="77777777" w:rsidR="000E3E80" w:rsidRDefault="000E3E80" w:rsidP="00626BF1">
            <w:pPr>
              <w:pStyle w:val="TableParagraph"/>
              <w:rPr>
                <w:rFonts w:ascii="Times New Roman"/>
                <w:sz w:val="20"/>
              </w:rPr>
            </w:pPr>
          </w:p>
        </w:tc>
      </w:tr>
      <w:tr w:rsidR="00805F86" w14:paraId="4C82FD84" w14:textId="77777777" w:rsidTr="005C054D">
        <w:trPr>
          <w:trHeight w:val="762"/>
        </w:trPr>
        <w:tc>
          <w:tcPr>
            <w:tcW w:w="3695" w:type="dxa"/>
            <w:shd w:val="clear" w:color="auto" w:fill="E2EFD9" w:themeFill="accent6" w:themeFillTint="33"/>
          </w:tcPr>
          <w:p w14:paraId="767B679C" w14:textId="77777777" w:rsidR="00805F86" w:rsidRDefault="00805F86" w:rsidP="00805F86">
            <w:pPr>
              <w:pStyle w:val="TableParagraph"/>
              <w:spacing w:before="102"/>
              <w:ind w:left="100"/>
              <w:rPr>
                <w:sz w:val="20"/>
              </w:rPr>
            </w:pPr>
            <w:r>
              <w:rPr>
                <w:b/>
                <w:sz w:val="20"/>
              </w:rPr>
              <w:lastRenderedPageBreak/>
              <w:t xml:space="preserve">3.4. PREVENTION OF DEFORESTATION </w:t>
            </w:r>
            <w:r>
              <w:rPr>
                <w:sz w:val="20"/>
              </w:rPr>
              <w:t>:</w:t>
            </w:r>
          </w:p>
          <w:p w14:paraId="2D99D5DD" w14:textId="7742BA57" w:rsidR="00805F86" w:rsidRDefault="00805F86" w:rsidP="00805F86">
            <w:pPr>
              <w:pStyle w:val="TableParagraph"/>
              <w:spacing w:before="102" w:line="276" w:lineRule="auto"/>
              <w:ind w:left="100" w:right="467"/>
              <w:rPr>
                <w:b/>
                <w:sz w:val="20"/>
              </w:rPr>
            </w:pPr>
            <w:r>
              <w:rPr>
                <w:sz w:val="20"/>
              </w:rPr>
              <w:t>2.5 M ha forest saved from deforestation</w:t>
            </w:r>
          </w:p>
        </w:tc>
        <w:tc>
          <w:tcPr>
            <w:tcW w:w="4748" w:type="dxa"/>
          </w:tcPr>
          <w:p w14:paraId="01AE407A" w14:textId="77777777" w:rsidR="00805F86" w:rsidRDefault="00805F86" w:rsidP="00626BF1">
            <w:pPr>
              <w:pStyle w:val="TableParagraph"/>
              <w:rPr>
                <w:rFonts w:ascii="Times New Roman"/>
                <w:sz w:val="20"/>
              </w:rPr>
            </w:pPr>
          </w:p>
        </w:tc>
        <w:tc>
          <w:tcPr>
            <w:tcW w:w="2859" w:type="dxa"/>
          </w:tcPr>
          <w:p w14:paraId="14EC3CD9" w14:textId="77777777" w:rsidR="00805F86" w:rsidRDefault="00805F86" w:rsidP="00626BF1">
            <w:pPr>
              <w:pStyle w:val="TableParagraph"/>
              <w:rPr>
                <w:rFonts w:ascii="Times New Roman"/>
                <w:sz w:val="20"/>
              </w:rPr>
            </w:pPr>
          </w:p>
        </w:tc>
        <w:tc>
          <w:tcPr>
            <w:tcW w:w="2861" w:type="dxa"/>
          </w:tcPr>
          <w:p w14:paraId="45E710F9" w14:textId="77777777" w:rsidR="00805F86" w:rsidRDefault="00805F86" w:rsidP="00626BF1">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lastRenderedPageBreak/>
        <w:t>Table 2. Condensed list of policy contributions in this reporting year (Sphere of Influence)</w:t>
      </w:r>
    </w:p>
    <w:p w14:paraId="7BD279D9" w14:textId="72FD3E53"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2" w:history="1">
        <w:r w:rsidRPr="00805F86">
          <w:rPr>
            <w:rStyle w:val="Hyperlink"/>
          </w:rPr>
          <w:t>MEL Platform</w:t>
        </w:r>
      </w:hyperlink>
      <w:r w:rsidR="0040636F">
        <w:t xml:space="preserve">, following this </w:t>
      </w:r>
      <w:hyperlink r:id="rId13" w:history="1">
        <w:r w:rsidR="0040636F" w:rsidRPr="0040636F">
          <w:rPr>
            <w:rStyle w:val="Hyperlink"/>
          </w:rPr>
          <w:t>guide</w:t>
        </w:r>
      </w:hyperlink>
      <w:r>
        <w:t>.</w:t>
      </w:r>
      <w:r w:rsidR="002C6F71">
        <w:t xml:space="preserve"> </w:t>
      </w:r>
      <w:bookmarkStart w:id="11" w:name="_Hlk59210370"/>
      <w:r w:rsidR="002C6F71">
        <w:t>There is no need to fill Columns 2 to 9 when the policy contribution is already recorded in MEL.</w:t>
      </w:r>
      <w:r>
        <w:t xml:space="preserve"> </w:t>
      </w:r>
      <w:bookmarkEnd w:id="11"/>
      <w:r>
        <w:t xml:space="preserve">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14"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3"/>
        <w:gridCol w:w="3065"/>
        <w:gridCol w:w="1560"/>
        <w:gridCol w:w="1761"/>
        <w:gridCol w:w="930"/>
        <w:gridCol w:w="896"/>
        <w:gridCol w:w="1015"/>
        <w:gridCol w:w="965"/>
        <w:gridCol w:w="1945"/>
      </w:tblGrid>
      <w:tr w:rsidR="002C6F71" w14:paraId="4EA36D55" w14:textId="77777777" w:rsidTr="003C0E6F">
        <w:trPr>
          <w:trHeight w:val="145"/>
        </w:trPr>
        <w:tc>
          <w:tcPr>
            <w:tcW w:w="2033" w:type="dxa"/>
            <w:tcBorders>
              <w:left w:val="single" w:sz="6" w:space="0" w:color="000000"/>
              <w:right w:val="single" w:sz="6" w:space="0" w:color="000000"/>
            </w:tcBorders>
            <w:shd w:val="clear" w:color="auto" w:fill="E2EFD9" w:themeFill="accent6" w:themeFillTint="33"/>
            <w:vAlign w:val="center"/>
          </w:tcPr>
          <w:p w14:paraId="44001287" w14:textId="0952A925" w:rsidR="002C6F71" w:rsidRPr="003C0E6F" w:rsidRDefault="002C6F71" w:rsidP="003C0E6F">
            <w:pPr>
              <w:pStyle w:val="TableParagraph"/>
              <w:spacing w:before="10"/>
              <w:jc w:val="center"/>
              <w:rPr>
                <w:b/>
                <w:bCs/>
                <w:sz w:val="16"/>
              </w:rPr>
            </w:pPr>
            <w:r w:rsidRPr="003C0E6F">
              <w:rPr>
                <w:b/>
                <w:bCs/>
                <w:sz w:val="16"/>
              </w:rPr>
              <w:t>Col</w:t>
            </w:r>
            <w:r>
              <w:rPr>
                <w:b/>
                <w:bCs/>
                <w:sz w:val="16"/>
              </w:rPr>
              <w:t xml:space="preserve"> 1</w:t>
            </w:r>
          </w:p>
        </w:tc>
        <w:tc>
          <w:tcPr>
            <w:tcW w:w="3065" w:type="dxa"/>
            <w:tcBorders>
              <w:left w:val="single" w:sz="6" w:space="0" w:color="000000"/>
              <w:right w:val="single" w:sz="6" w:space="0" w:color="000000"/>
            </w:tcBorders>
            <w:shd w:val="clear" w:color="auto" w:fill="E2EFD9" w:themeFill="accent6" w:themeFillTint="33"/>
            <w:vAlign w:val="center"/>
          </w:tcPr>
          <w:p w14:paraId="51D39464" w14:textId="06C0F7CD" w:rsidR="002C6F71" w:rsidRDefault="002C6F71" w:rsidP="003C0E6F">
            <w:pPr>
              <w:pStyle w:val="TableParagraph"/>
              <w:jc w:val="center"/>
            </w:pPr>
            <w:r w:rsidRPr="00096DC4">
              <w:rPr>
                <w:b/>
                <w:bCs/>
                <w:sz w:val="16"/>
              </w:rPr>
              <w:t>Col</w:t>
            </w:r>
            <w:r>
              <w:rPr>
                <w:b/>
                <w:bCs/>
                <w:sz w:val="16"/>
              </w:rPr>
              <w:t xml:space="preserve"> 2</w:t>
            </w:r>
          </w:p>
        </w:tc>
        <w:tc>
          <w:tcPr>
            <w:tcW w:w="1560" w:type="dxa"/>
            <w:tcBorders>
              <w:left w:val="single" w:sz="6" w:space="0" w:color="000000"/>
              <w:right w:val="single" w:sz="6" w:space="0" w:color="000000"/>
            </w:tcBorders>
            <w:shd w:val="clear" w:color="auto" w:fill="E2EFD9" w:themeFill="accent6" w:themeFillTint="33"/>
            <w:vAlign w:val="center"/>
          </w:tcPr>
          <w:p w14:paraId="3CF0A7E1" w14:textId="3D44A48D" w:rsidR="002C6F71" w:rsidRDefault="002C6F71" w:rsidP="003C0E6F">
            <w:pPr>
              <w:pStyle w:val="TableParagraph"/>
              <w:jc w:val="center"/>
            </w:pPr>
            <w:r w:rsidRPr="00096DC4">
              <w:rPr>
                <w:b/>
                <w:bCs/>
                <w:sz w:val="16"/>
              </w:rPr>
              <w:t>Col</w:t>
            </w:r>
            <w:r>
              <w:rPr>
                <w:b/>
                <w:bCs/>
                <w:sz w:val="16"/>
              </w:rPr>
              <w:t xml:space="preserve"> 3</w:t>
            </w:r>
          </w:p>
        </w:tc>
        <w:tc>
          <w:tcPr>
            <w:tcW w:w="1761" w:type="dxa"/>
            <w:tcBorders>
              <w:left w:val="single" w:sz="6" w:space="0" w:color="000000"/>
              <w:right w:val="single" w:sz="6" w:space="0" w:color="000000"/>
            </w:tcBorders>
            <w:shd w:val="clear" w:color="auto" w:fill="E2EFD9" w:themeFill="accent6" w:themeFillTint="33"/>
            <w:vAlign w:val="center"/>
          </w:tcPr>
          <w:p w14:paraId="77653DA0" w14:textId="364DF8A5" w:rsidR="002C6F71" w:rsidRDefault="002C6F71" w:rsidP="003C0E6F">
            <w:pPr>
              <w:pStyle w:val="TableParagraph"/>
              <w:jc w:val="center"/>
            </w:pPr>
            <w:r w:rsidRPr="00096DC4">
              <w:rPr>
                <w:b/>
                <w:bCs/>
                <w:sz w:val="16"/>
              </w:rPr>
              <w:t>Col</w:t>
            </w:r>
            <w:r>
              <w:rPr>
                <w:b/>
                <w:bCs/>
                <w:sz w:val="16"/>
              </w:rPr>
              <w:t xml:space="preserve"> 4</w:t>
            </w:r>
          </w:p>
        </w:tc>
        <w:tc>
          <w:tcPr>
            <w:tcW w:w="3806" w:type="dxa"/>
            <w:gridSpan w:val="4"/>
            <w:tcBorders>
              <w:left w:val="single" w:sz="6" w:space="0" w:color="000000"/>
              <w:right w:val="single" w:sz="6" w:space="0" w:color="000000"/>
            </w:tcBorders>
            <w:shd w:val="clear" w:color="auto" w:fill="E2EFD9" w:themeFill="accent6" w:themeFillTint="33"/>
            <w:vAlign w:val="center"/>
          </w:tcPr>
          <w:p w14:paraId="01FA09A2" w14:textId="6F7E54AF" w:rsidR="002C6F71" w:rsidRDefault="002C6F71" w:rsidP="003C0E6F">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70502B8B" w14:textId="79901257" w:rsidR="002C6F71" w:rsidRDefault="002C6F71" w:rsidP="002C6F71">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D924BD">
        <w:trPr>
          <w:trHeight w:val="2363"/>
        </w:trPr>
        <w:tc>
          <w:tcPr>
            <w:tcW w:w="2033"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5"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56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761"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806"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D924BD">
        <w:trPr>
          <w:trHeight w:val="815"/>
        </w:trPr>
        <w:tc>
          <w:tcPr>
            <w:tcW w:w="2033"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5"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56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761"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930"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FC7197"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D9E9F38"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F20BA"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A7634C"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F9951BE"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805F86" w14:paraId="3C5A15A0"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53FE596B"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B940B3"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40345"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C2E4BA8"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67191A7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805F86" w:rsidRDefault="00805F86" w:rsidP="00626BF1">
            <w:pPr>
              <w:pStyle w:val="TableParagraph"/>
              <w:rPr>
                <w:rFonts w:ascii="Times New Roman"/>
              </w:rPr>
            </w:pPr>
          </w:p>
        </w:tc>
      </w:tr>
      <w:tr w:rsidR="00805F86" w14:paraId="33FAB541" w14:textId="77777777" w:rsidTr="001B1CF0">
        <w:trPr>
          <w:trHeight w:val="815"/>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D357340" w14:textId="77777777" w:rsidR="00805F86" w:rsidRDefault="00805F86" w:rsidP="00626BF1">
            <w:pPr>
              <w:rPr>
                <w:sz w:val="2"/>
                <w:szCs w:val="2"/>
              </w:rPr>
            </w:pP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805F86" w:rsidRDefault="00805F86" w:rsidP="00626BF1">
            <w:pPr>
              <w:rPr>
                <w:sz w:val="2"/>
                <w:szCs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805F86" w:rsidRDefault="00805F86" w:rsidP="00626BF1">
            <w:pPr>
              <w:rPr>
                <w:sz w:val="2"/>
                <w:szCs w:val="2"/>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805F86" w:rsidRDefault="00805F86" w:rsidP="00626BF1">
            <w:pPr>
              <w:rPr>
                <w:sz w:val="2"/>
                <w:szCs w:val="2"/>
              </w:rPr>
            </w:pP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805F86" w:rsidRDefault="00805F86" w:rsidP="00626BF1">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805F86" w:rsidRDefault="00805F86" w:rsidP="00626BF1">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lastRenderedPageBreak/>
        <w:t>Table 3. List of Outcome/ Impact Case Reports from this reporting year (Sphere of Influence)</w:t>
      </w:r>
    </w:p>
    <w:p w14:paraId="32181B7D" w14:textId="3F61C26D"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5" w:history="1">
        <w:r w:rsidRPr="0040636F">
          <w:rPr>
            <w:rStyle w:val="Hyperlink"/>
          </w:rPr>
          <w:t>MEL Platform</w:t>
        </w:r>
      </w:hyperlink>
      <w:r>
        <w:t xml:space="preserve">, following this </w:t>
      </w:r>
      <w:hyperlink r:id="rId16" w:history="1">
        <w:r w:rsidRPr="0040636F">
          <w:rPr>
            <w:rStyle w:val="Hyperlink"/>
          </w:rPr>
          <w:t>guide</w:t>
        </w:r>
      </w:hyperlink>
      <w:r>
        <w:t>.</w:t>
      </w:r>
      <w:r w:rsidR="002C6F71">
        <w:t xml:space="preserve"> </w:t>
      </w:r>
      <w:bookmarkStart w:id="12" w:name="_Hlk59210391"/>
      <w:r w:rsidR="002C6F71">
        <w:t>There is no need to fill Column 3 when the OICR is already recorded in MEL.</w:t>
      </w:r>
      <w:bookmarkEnd w:id="12"/>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7777777" w:rsidR="001B1CF0" w:rsidRDefault="001B1CF0" w:rsidP="00626BF1">
            <w:pPr>
              <w:pStyle w:val="TableParagraph"/>
              <w:spacing w:before="3"/>
              <w:rPr>
                <w:sz w:val="29"/>
              </w:rPr>
            </w:pPr>
          </w:p>
        </w:tc>
        <w:tc>
          <w:tcPr>
            <w:tcW w:w="3531" w:type="dxa"/>
            <w:shd w:val="clear" w:color="auto" w:fill="auto"/>
          </w:tcPr>
          <w:p w14:paraId="092CDC4E" w14:textId="77777777" w:rsidR="001B1CF0" w:rsidRDefault="001B1CF0" w:rsidP="00626BF1">
            <w:pPr>
              <w:pStyle w:val="TableParagraph"/>
              <w:spacing w:before="3"/>
              <w:rPr>
                <w:sz w:val="29"/>
              </w:rPr>
            </w:pPr>
          </w:p>
        </w:tc>
        <w:tc>
          <w:tcPr>
            <w:tcW w:w="4321" w:type="dxa"/>
            <w:shd w:val="clear" w:color="auto" w:fill="auto"/>
          </w:tcPr>
          <w:p w14:paraId="190C5463" w14:textId="00AAA548" w:rsidR="001B1CF0" w:rsidRDefault="001B1CF0" w:rsidP="006F7174">
            <w:pPr>
              <w:pStyle w:val="TableParagraph"/>
              <w:spacing w:before="5"/>
              <w:jc w:val="center"/>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626BF1">
            <w:pPr>
              <w:pStyle w:val="TableParagraph"/>
              <w:spacing w:before="3"/>
              <w:rPr>
                <w:sz w:val="29"/>
              </w:rPr>
            </w:pPr>
          </w:p>
        </w:tc>
        <w:tc>
          <w:tcPr>
            <w:tcW w:w="3531" w:type="dxa"/>
            <w:shd w:val="clear" w:color="auto" w:fill="auto"/>
          </w:tcPr>
          <w:p w14:paraId="182806E0" w14:textId="77777777" w:rsidR="001B1CF0" w:rsidRDefault="001B1CF0" w:rsidP="00626BF1">
            <w:pPr>
              <w:pStyle w:val="TableParagraph"/>
              <w:spacing w:before="3"/>
              <w:rPr>
                <w:sz w:val="29"/>
              </w:rPr>
            </w:pPr>
          </w:p>
        </w:tc>
        <w:tc>
          <w:tcPr>
            <w:tcW w:w="4321" w:type="dxa"/>
            <w:shd w:val="clear" w:color="auto" w:fill="auto"/>
          </w:tcPr>
          <w:p w14:paraId="529C6DFB" w14:textId="2D936C89" w:rsidR="001B1CF0" w:rsidRDefault="001B1CF0" w:rsidP="006F7174">
            <w:pPr>
              <w:pStyle w:val="TableParagraph"/>
              <w:spacing w:before="5"/>
              <w:jc w:val="center"/>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626BF1">
            <w:pPr>
              <w:pStyle w:val="TableParagraph"/>
              <w:spacing w:before="3"/>
              <w:rPr>
                <w:sz w:val="29"/>
              </w:rPr>
            </w:pPr>
          </w:p>
        </w:tc>
        <w:tc>
          <w:tcPr>
            <w:tcW w:w="3531" w:type="dxa"/>
            <w:shd w:val="clear" w:color="auto" w:fill="auto"/>
          </w:tcPr>
          <w:p w14:paraId="7D68957E" w14:textId="77777777" w:rsidR="001B1CF0" w:rsidRDefault="001B1CF0" w:rsidP="00626BF1">
            <w:pPr>
              <w:pStyle w:val="TableParagraph"/>
              <w:spacing w:before="3"/>
              <w:rPr>
                <w:sz w:val="29"/>
              </w:rPr>
            </w:pPr>
          </w:p>
        </w:tc>
        <w:tc>
          <w:tcPr>
            <w:tcW w:w="4321" w:type="dxa"/>
            <w:shd w:val="clear" w:color="auto" w:fill="auto"/>
          </w:tcPr>
          <w:p w14:paraId="303BF74A" w14:textId="0BB79226" w:rsidR="001B1CF0" w:rsidRDefault="001B1CF0" w:rsidP="006F7174">
            <w:pPr>
              <w:pStyle w:val="TableParagraph"/>
              <w:spacing w:before="5"/>
              <w:jc w:val="center"/>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626BF1">
            <w:pPr>
              <w:pStyle w:val="TableParagraph"/>
              <w:spacing w:before="3"/>
              <w:rPr>
                <w:sz w:val="29"/>
              </w:rPr>
            </w:pPr>
          </w:p>
        </w:tc>
        <w:tc>
          <w:tcPr>
            <w:tcW w:w="3531" w:type="dxa"/>
            <w:shd w:val="clear" w:color="auto" w:fill="auto"/>
          </w:tcPr>
          <w:p w14:paraId="418024BE" w14:textId="77777777" w:rsidR="001B1CF0" w:rsidRDefault="001B1CF0" w:rsidP="00626BF1">
            <w:pPr>
              <w:pStyle w:val="TableParagraph"/>
              <w:spacing w:before="3"/>
              <w:rPr>
                <w:sz w:val="29"/>
              </w:rPr>
            </w:pPr>
          </w:p>
        </w:tc>
        <w:tc>
          <w:tcPr>
            <w:tcW w:w="4321" w:type="dxa"/>
            <w:shd w:val="clear" w:color="auto" w:fill="auto"/>
          </w:tcPr>
          <w:p w14:paraId="6C0E6583" w14:textId="77777777" w:rsidR="001B1CF0" w:rsidRDefault="001B1CF0" w:rsidP="00626BF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lastRenderedPageBreak/>
        <w:t>Table 4. Condensed list of innovations by stage for this reporting year</w:t>
      </w:r>
    </w:p>
    <w:p w14:paraId="57C7009F" w14:textId="61614084" w:rsidR="00CF1CA4" w:rsidRPr="00CF1CA4" w:rsidRDefault="00CF1CA4" w:rsidP="00CF1CA4">
      <w:r>
        <w:t xml:space="preserve">Please complete the table below and </w:t>
      </w:r>
      <w:r>
        <w:rPr>
          <w:b/>
        </w:rPr>
        <w:t xml:space="preserve">report the supporting evidence </w:t>
      </w:r>
      <w:r>
        <w:t xml:space="preserve">required in the </w:t>
      </w:r>
      <w:hyperlink r:id="rId17" w:history="1">
        <w:r w:rsidRPr="00CF1CA4">
          <w:rPr>
            <w:rStyle w:val="Hyperlink"/>
          </w:rPr>
          <w:t>MEL Platform</w:t>
        </w:r>
      </w:hyperlink>
      <w:r>
        <w:t xml:space="preserve">, following this </w:t>
      </w:r>
      <w:hyperlink r:id="rId18" w:history="1">
        <w:r w:rsidRPr="00CF1CA4">
          <w:rPr>
            <w:rStyle w:val="Hyperlink"/>
          </w:rPr>
          <w:t>guide</w:t>
        </w:r>
      </w:hyperlink>
      <w:r>
        <w:t xml:space="preserve">. Note that only CoA, FP leaders, and CRP Admin can create an innovation record in MEL. Please request the record to be opened to be populated by the innovation focal person.  </w:t>
      </w:r>
      <w:bookmarkStart w:id="13" w:name="_Hlk59210475"/>
      <w:r w:rsidR="002C6F71">
        <w:t>There is no need to fill Columns 2 to 4 when the innovation is already recorded in MEL.</w:t>
      </w:r>
      <w:bookmarkEnd w:id="13"/>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10CDE8D7" w:rsidR="0040636F" w:rsidRDefault="0040636F" w:rsidP="00626BF1">
            <w:pPr>
              <w:pStyle w:val="TableParagraph"/>
              <w:spacing w:line="273" w:lineRule="auto"/>
              <w:ind w:left="717" w:right="410" w:hanging="281"/>
            </w:pPr>
            <w:r>
              <w:rPr>
                <w:b/>
              </w:rPr>
              <w:t xml:space="preserve">Title of innovation with link </w:t>
            </w:r>
            <w:r>
              <w:t xml:space="preserve">(e.g. </w:t>
            </w:r>
            <w:r w:rsidR="004D22BD">
              <w:t>MEL submission</w:t>
            </w:r>
            <w:r>
              <w:t>).</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3192C5E1" w14:textId="77777777" w:rsidR="00CF1CA4" w:rsidRDefault="00CF1CA4" w:rsidP="00626BF1">
            <w:pPr>
              <w:pStyle w:val="TableParagraph"/>
              <w:spacing w:before="102" w:line="276" w:lineRule="auto"/>
              <w:ind w:left="115" w:right="675"/>
              <w:rPr>
                <w:sz w:val="20"/>
              </w:rPr>
            </w:pPr>
          </w:p>
        </w:tc>
        <w:tc>
          <w:tcPr>
            <w:tcW w:w="3032" w:type="dxa"/>
          </w:tcPr>
          <w:p w14:paraId="66BE1F21" w14:textId="77777777" w:rsidR="00CF1CA4" w:rsidRDefault="00CF1CA4" w:rsidP="00626BF1">
            <w:pPr>
              <w:pStyle w:val="TableParagraph"/>
              <w:spacing w:before="102" w:line="276" w:lineRule="auto"/>
              <w:ind w:left="114" w:right="356"/>
              <w:rPr>
                <w:sz w:val="20"/>
              </w:rPr>
            </w:pPr>
          </w:p>
        </w:tc>
        <w:tc>
          <w:tcPr>
            <w:tcW w:w="3541" w:type="dxa"/>
          </w:tcPr>
          <w:p w14:paraId="26BD1F63" w14:textId="77777777" w:rsidR="00CF1CA4" w:rsidRDefault="00CF1CA4" w:rsidP="00626BF1">
            <w:pPr>
              <w:pStyle w:val="TableParagraph"/>
              <w:spacing w:before="102" w:line="276" w:lineRule="auto"/>
              <w:ind w:left="114" w:right="253"/>
              <w:jc w:val="both"/>
              <w:rPr>
                <w:sz w:val="20"/>
              </w:rPr>
            </w:pPr>
          </w:p>
        </w:tc>
        <w:tc>
          <w:tcPr>
            <w:tcW w:w="3543" w:type="dxa"/>
          </w:tcPr>
          <w:p w14:paraId="4069F01B" w14:textId="77777777" w:rsidR="00CF1CA4" w:rsidRDefault="00CF1CA4" w:rsidP="00626BF1">
            <w:pPr>
              <w:pStyle w:val="TableParagraph"/>
              <w:spacing w:before="102" w:line="276" w:lineRule="auto"/>
              <w:ind w:left="113" w:right="369"/>
              <w:rPr>
                <w:sz w:val="20"/>
              </w:rPr>
            </w:pPr>
          </w:p>
        </w:tc>
      </w:tr>
      <w:tr w:rsidR="00CF1CA4" w14:paraId="3496DF6F" w14:textId="77777777" w:rsidTr="00D924BD">
        <w:trPr>
          <w:trHeight w:val="415"/>
        </w:trPr>
        <w:tc>
          <w:tcPr>
            <w:tcW w:w="4079" w:type="dxa"/>
          </w:tcPr>
          <w:p w14:paraId="1736BE0B" w14:textId="77777777" w:rsidR="00CF1CA4" w:rsidRDefault="00CF1CA4" w:rsidP="00626BF1">
            <w:pPr>
              <w:pStyle w:val="TableParagraph"/>
              <w:spacing w:before="102" w:line="276" w:lineRule="auto"/>
              <w:ind w:left="115" w:right="675"/>
              <w:rPr>
                <w:sz w:val="20"/>
              </w:rPr>
            </w:pPr>
          </w:p>
        </w:tc>
        <w:tc>
          <w:tcPr>
            <w:tcW w:w="3032" w:type="dxa"/>
          </w:tcPr>
          <w:p w14:paraId="2A257C79" w14:textId="77777777" w:rsidR="00CF1CA4" w:rsidRDefault="00CF1CA4" w:rsidP="00626BF1">
            <w:pPr>
              <w:pStyle w:val="TableParagraph"/>
              <w:spacing w:before="102" w:line="276" w:lineRule="auto"/>
              <w:ind w:left="114" w:right="356"/>
              <w:rPr>
                <w:sz w:val="20"/>
              </w:rPr>
            </w:pPr>
          </w:p>
        </w:tc>
        <w:tc>
          <w:tcPr>
            <w:tcW w:w="3541" w:type="dxa"/>
          </w:tcPr>
          <w:p w14:paraId="7B24E494" w14:textId="77777777" w:rsidR="00CF1CA4" w:rsidRDefault="00CF1CA4" w:rsidP="00626BF1">
            <w:pPr>
              <w:pStyle w:val="TableParagraph"/>
              <w:spacing w:before="102" w:line="276" w:lineRule="auto"/>
              <w:ind w:left="114" w:right="253"/>
              <w:jc w:val="both"/>
              <w:rPr>
                <w:sz w:val="20"/>
              </w:rPr>
            </w:pPr>
          </w:p>
        </w:tc>
        <w:tc>
          <w:tcPr>
            <w:tcW w:w="3543" w:type="dxa"/>
          </w:tcPr>
          <w:p w14:paraId="5161EB90" w14:textId="77777777" w:rsidR="00CF1CA4" w:rsidRDefault="00CF1CA4" w:rsidP="00626BF1">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626BF1">
            <w:pPr>
              <w:pStyle w:val="TableParagraph"/>
              <w:spacing w:before="102" w:line="276" w:lineRule="auto"/>
              <w:ind w:left="115" w:right="675"/>
              <w:rPr>
                <w:sz w:val="20"/>
              </w:rPr>
            </w:pPr>
          </w:p>
        </w:tc>
        <w:tc>
          <w:tcPr>
            <w:tcW w:w="3032" w:type="dxa"/>
          </w:tcPr>
          <w:p w14:paraId="4E46E6E4" w14:textId="77777777" w:rsidR="00CF1CA4" w:rsidRDefault="00CF1CA4" w:rsidP="00626BF1">
            <w:pPr>
              <w:pStyle w:val="TableParagraph"/>
              <w:spacing w:before="102" w:line="276" w:lineRule="auto"/>
              <w:ind w:left="114" w:right="356"/>
              <w:rPr>
                <w:sz w:val="20"/>
              </w:rPr>
            </w:pPr>
          </w:p>
        </w:tc>
        <w:tc>
          <w:tcPr>
            <w:tcW w:w="3541" w:type="dxa"/>
          </w:tcPr>
          <w:p w14:paraId="11149B96" w14:textId="77777777" w:rsidR="00CF1CA4" w:rsidRDefault="00CF1CA4" w:rsidP="00626BF1">
            <w:pPr>
              <w:pStyle w:val="TableParagraph"/>
              <w:spacing w:before="102" w:line="276" w:lineRule="auto"/>
              <w:ind w:left="114" w:right="253"/>
              <w:jc w:val="both"/>
              <w:rPr>
                <w:sz w:val="20"/>
              </w:rPr>
            </w:pPr>
          </w:p>
        </w:tc>
        <w:tc>
          <w:tcPr>
            <w:tcW w:w="3543" w:type="dxa"/>
          </w:tcPr>
          <w:p w14:paraId="5EA18C67" w14:textId="77777777" w:rsidR="00CF1CA4" w:rsidRDefault="00CF1CA4" w:rsidP="00626BF1">
            <w:pPr>
              <w:pStyle w:val="TableParagraph"/>
              <w:spacing w:before="102" w:line="276" w:lineRule="auto"/>
              <w:ind w:left="113" w:right="369"/>
              <w:rPr>
                <w:sz w:val="20"/>
              </w:rPr>
            </w:pPr>
          </w:p>
        </w:tc>
      </w:tr>
      <w:tr w:rsidR="00CF1CA4" w14:paraId="39F8AC7C" w14:textId="77777777" w:rsidTr="00D924BD">
        <w:trPr>
          <w:trHeight w:val="415"/>
        </w:trPr>
        <w:tc>
          <w:tcPr>
            <w:tcW w:w="4079" w:type="dxa"/>
          </w:tcPr>
          <w:p w14:paraId="2D93F912" w14:textId="77777777" w:rsidR="00CF1CA4" w:rsidRDefault="00CF1CA4" w:rsidP="00626BF1">
            <w:pPr>
              <w:pStyle w:val="TableParagraph"/>
              <w:spacing w:before="102" w:line="276" w:lineRule="auto"/>
              <w:ind w:left="115" w:right="675"/>
              <w:rPr>
                <w:sz w:val="20"/>
              </w:rPr>
            </w:pPr>
          </w:p>
        </w:tc>
        <w:tc>
          <w:tcPr>
            <w:tcW w:w="3032" w:type="dxa"/>
          </w:tcPr>
          <w:p w14:paraId="20C6F64A" w14:textId="77777777" w:rsidR="00CF1CA4" w:rsidRDefault="00CF1CA4" w:rsidP="00626BF1">
            <w:pPr>
              <w:pStyle w:val="TableParagraph"/>
              <w:spacing w:before="102" w:line="276" w:lineRule="auto"/>
              <w:ind w:left="114" w:right="356"/>
              <w:rPr>
                <w:sz w:val="20"/>
              </w:rPr>
            </w:pPr>
          </w:p>
        </w:tc>
        <w:tc>
          <w:tcPr>
            <w:tcW w:w="3541" w:type="dxa"/>
          </w:tcPr>
          <w:p w14:paraId="0BE34B0E" w14:textId="77777777" w:rsidR="00CF1CA4" w:rsidRDefault="00CF1CA4" w:rsidP="00626BF1">
            <w:pPr>
              <w:pStyle w:val="TableParagraph"/>
              <w:spacing w:before="102" w:line="276" w:lineRule="auto"/>
              <w:ind w:left="114" w:right="253"/>
              <w:jc w:val="both"/>
              <w:rPr>
                <w:sz w:val="20"/>
              </w:rPr>
            </w:pPr>
          </w:p>
        </w:tc>
        <w:tc>
          <w:tcPr>
            <w:tcW w:w="3543" w:type="dxa"/>
          </w:tcPr>
          <w:p w14:paraId="29C30738" w14:textId="77777777" w:rsidR="00CF1CA4" w:rsidRDefault="00CF1CA4" w:rsidP="00626BF1">
            <w:pPr>
              <w:pStyle w:val="TableParagraph"/>
              <w:spacing w:before="102" w:line="276" w:lineRule="auto"/>
              <w:ind w:left="113" w:right="369"/>
              <w:rPr>
                <w:sz w:val="20"/>
              </w:rPr>
            </w:pPr>
          </w:p>
        </w:tc>
      </w:tr>
      <w:tr w:rsidR="00CF1CA4" w14:paraId="0D7A8E8C" w14:textId="77777777" w:rsidTr="00D924BD">
        <w:trPr>
          <w:trHeight w:val="415"/>
        </w:trPr>
        <w:tc>
          <w:tcPr>
            <w:tcW w:w="4079" w:type="dxa"/>
          </w:tcPr>
          <w:p w14:paraId="1860A05A" w14:textId="77777777" w:rsidR="00CF1CA4" w:rsidRDefault="00CF1CA4" w:rsidP="00626BF1">
            <w:pPr>
              <w:pStyle w:val="TableParagraph"/>
              <w:spacing w:before="102" w:line="276" w:lineRule="auto"/>
              <w:ind w:left="115" w:right="675"/>
              <w:rPr>
                <w:sz w:val="20"/>
              </w:rPr>
            </w:pPr>
          </w:p>
        </w:tc>
        <w:tc>
          <w:tcPr>
            <w:tcW w:w="3032" w:type="dxa"/>
          </w:tcPr>
          <w:p w14:paraId="4DF462AE" w14:textId="77777777" w:rsidR="00CF1CA4" w:rsidRDefault="00CF1CA4" w:rsidP="00626BF1">
            <w:pPr>
              <w:pStyle w:val="TableParagraph"/>
              <w:spacing w:before="102" w:line="276" w:lineRule="auto"/>
              <w:ind w:left="114" w:right="356"/>
              <w:rPr>
                <w:sz w:val="20"/>
              </w:rPr>
            </w:pPr>
          </w:p>
        </w:tc>
        <w:tc>
          <w:tcPr>
            <w:tcW w:w="3541" w:type="dxa"/>
          </w:tcPr>
          <w:p w14:paraId="337A79B7" w14:textId="77777777" w:rsidR="00CF1CA4" w:rsidRDefault="00CF1CA4" w:rsidP="00626BF1">
            <w:pPr>
              <w:pStyle w:val="TableParagraph"/>
              <w:spacing w:before="102" w:line="276" w:lineRule="auto"/>
              <w:ind w:left="114" w:right="253"/>
              <w:jc w:val="both"/>
              <w:rPr>
                <w:sz w:val="20"/>
              </w:rPr>
            </w:pPr>
          </w:p>
        </w:tc>
        <w:tc>
          <w:tcPr>
            <w:tcW w:w="3543" w:type="dxa"/>
          </w:tcPr>
          <w:p w14:paraId="7C9C2669" w14:textId="77777777" w:rsidR="00CF1CA4" w:rsidRDefault="00CF1CA4" w:rsidP="00626BF1">
            <w:pPr>
              <w:pStyle w:val="TableParagraph"/>
              <w:spacing w:before="102" w:line="276" w:lineRule="auto"/>
              <w:ind w:left="113" w:right="369"/>
              <w:rPr>
                <w:sz w:val="20"/>
              </w:rPr>
            </w:pPr>
          </w:p>
        </w:tc>
      </w:tr>
      <w:tr w:rsidR="00CF1CA4" w14:paraId="53E7BF66" w14:textId="77777777" w:rsidTr="00D924BD">
        <w:trPr>
          <w:trHeight w:val="415"/>
        </w:trPr>
        <w:tc>
          <w:tcPr>
            <w:tcW w:w="4079" w:type="dxa"/>
          </w:tcPr>
          <w:p w14:paraId="31BB42D6" w14:textId="77777777" w:rsidR="00CF1CA4" w:rsidRDefault="00CF1CA4" w:rsidP="00626BF1">
            <w:pPr>
              <w:pStyle w:val="TableParagraph"/>
              <w:spacing w:before="102" w:line="276" w:lineRule="auto"/>
              <w:ind w:left="115" w:right="675"/>
              <w:rPr>
                <w:sz w:val="20"/>
              </w:rPr>
            </w:pPr>
          </w:p>
        </w:tc>
        <w:tc>
          <w:tcPr>
            <w:tcW w:w="3032" w:type="dxa"/>
          </w:tcPr>
          <w:p w14:paraId="77FFEB7F" w14:textId="77777777" w:rsidR="00CF1CA4" w:rsidRDefault="00CF1CA4" w:rsidP="00626BF1">
            <w:pPr>
              <w:pStyle w:val="TableParagraph"/>
              <w:spacing w:before="102" w:line="276" w:lineRule="auto"/>
              <w:ind w:left="114" w:right="356"/>
              <w:rPr>
                <w:sz w:val="20"/>
              </w:rPr>
            </w:pPr>
          </w:p>
        </w:tc>
        <w:tc>
          <w:tcPr>
            <w:tcW w:w="3541" w:type="dxa"/>
          </w:tcPr>
          <w:p w14:paraId="2FFA6C96" w14:textId="77777777" w:rsidR="00CF1CA4" w:rsidRDefault="00CF1CA4" w:rsidP="00626BF1">
            <w:pPr>
              <w:pStyle w:val="TableParagraph"/>
              <w:spacing w:before="102" w:line="276" w:lineRule="auto"/>
              <w:ind w:left="114" w:right="253"/>
              <w:jc w:val="both"/>
              <w:rPr>
                <w:sz w:val="20"/>
              </w:rPr>
            </w:pPr>
          </w:p>
        </w:tc>
        <w:tc>
          <w:tcPr>
            <w:tcW w:w="3543" w:type="dxa"/>
          </w:tcPr>
          <w:p w14:paraId="35247D4D" w14:textId="77777777" w:rsidR="00CF1CA4" w:rsidRDefault="00CF1CA4" w:rsidP="00626BF1">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lastRenderedPageBreak/>
        <w:t>Table 8. Key external partnerships</w:t>
      </w:r>
    </w:p>
    <w:p w14:paraId="26D3E7CF" w14:textId="713FEF69" w:rsidR="007E0B8F" w:rsidRPr="00CF1CA4" w:rsidRDefault="00CF1CA4" w:rsidP="00CF1CA4">
      <w:r>
        <w:t xml:space="preserve">Please list up </w:t>
      </w:r>
      <w:r>
        <w:rPr>
          <w:b/>
        </w:rPr>
        <w:t xml:space="preserve">to five important partnerships </w:t>
      </w:r>
      <w:r>
        <w:t xml:space="preserve">for 2020 for each </w:t>
      </w:r>
      <w:r w:rsidR="007A34AA">
        <w:t>cluster</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1F7C6A98" w:rsidR="00CF1CA4" w:rsidRDefault="00CF1CA4" w:rsidP="00626BF1">
            <w:pPr>
              <w:pStyle w:val="TableParagraph"/>
              <w:spacing w:before="138"/>
              <w:ind w:left="263" w:right="246"/>
              <w:jc w:val="center"/>
              <w:rPr>
                <w:b/>
              </w:rPr>
            </w:pPr>
            <w:r>
              <w:rPr>
                <w:b/>
              </w:rPr>
              <w:t xml:space="preserve">Lead </w:t>
            </w:r>
            <w:r w:rsidR="007A34AA">
              <w:rPr>
                <w:b/>
              </w:rPr>
              <w:t>CoA</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r>
              <w:rPr>
                <w:u w:val="single"/>
              </w:rPr>
              <w:tab/>
            </w:r>
          </w:p>
        </w:tc>
      </w:tr>
      <w:tr w:rsidR="00CF1CA4" w14:paraId="2486FC76" w14:textId="77777777" w:rsidTr="00D924BD">
        <w:trPr>
          <w:trHeight w:val="460"/>
        </w:trPr>
        <w:tc>
          <w:tcPr>
            <w:tcW w:w="1268" w:type="dxa"/>
            <w:shd w:val="clear" w:color="auto" w:fill="auto"/>
          </w:tcPr>
          <w:p w14:paraId="6FBCCF50" w14:textId="059A1D3E" w:rsidR="00CF1CA4" w:rsidRDefault="00E3634A" w:rsidP="00626BF1">
            <w:pPr>
              <w:pStyle w:val="TableParagraph"/>
            </w:pPr>
            <w:r>
              <w:t>1.4</w:t>
            </w:r>
          </w:p>
        </w:tc>
        <w:tc>
          <w:tcPr>
            <w:tcW w:w="3503" w:type="dxa"/>
            <w:shd w:val="clear" w:color="auto" w:fill="auto"/>
          </w:tcPr>
          <w:p w14:paraId="396A2686" w14:textId="302F806D" w:rsidR="00CF1CA4" w:rsidRDefault="00E3634A" w:rsidP="00626BF1">
            <w:pPr>
              <w:pStyle w:val="TableParagraph"/>
              <w:spacing w:before="11"/>
              <w:rPr>
                <w:sz w:val="21"/>
              </w:rPr>
            </w:pPr>
            <w:r>
              <w:rPr>
                <w:sz w:val="21"/>
              </w:rPr>
              <w:t>GLDC impact estimation</w:t>
            </w:r>
          </w:p>
        </w:tc>
        <w:tc>
          <w:tcPr>
            <w:tcW w:w="4772" w:type="dxa"/>
            <w:shd w:val="clear" w:color="auto" w:fill="auto"/>
          </w:tcPr>
          <w:p w14:paraId="3854C343" w14:textId="4009D5DC" w:rsidR="00CF1CA4" w:rsidRDefault="00E3634A" w:rsidP="00626BF1">
            <w:pPr>
              <w:pStyle w:val="TableParagraph"/>
            </w:pPr>
            <w:r>
              <w:t>Swedish University of Agricultural Sciences</w:t>
            </w:r>
          </w:p>
        </w:tc>
        <w:tc>
          <w:tcPr>
            <w:tcW w:w="4475" w:type="dxa"/>
            <w:shd w:val="clear" w:color="auto" w:fill="auto"/>
          </w:tcPr>
          <w:p w14:paraId="26D3C05A" w14:textId="633ABC46" w:rsidR="00CF1CA4" w:rsidRDefault="00E3634A" w:rsidP="00626BF1">
            <w:pPr>
              <w:pStyle w:val="TableParagraph"/>
              <w:spacing w:before="99" w:line="273" w:lineRule="auto"/>
              <w:ind w:left="490" w:right="476"/>
              <w:jc w:val="center"/>
              <w:rPr>
                <w:b/>
              </w:rPr>
            </w:pPr>
            <w:r>
              <w:rPr>
                <w:b/>
              </w:rPr>
              <w:t>Research</w:t>
            </w:r>
          </w:p>
        </w:tc>
      </w:tr>
      <w:tr w:rsidR="00CF1CA4" w14:paraId="4B01B7CE" w14:textId="77777777" w:rsidTr="00D924BD">
        <w:trPr>
          <w:trHeight w:val="460"/>
        </w:trPr>
        <w:tc>
          <w:tcPr>
            <w:tcW w:w="1268" w:type="dxa"/>
            <w:shd w:val="clear" w:color="auto" w:fill="auto"/>
          </w:tcPr>
          <w:p w14:paraId="58B19114" w14:textId="77777777" w:rsidR="00CF1CA4" w:rsidRDefault="00CF1CA4" w:rsidP="00626BF1">
            <w:pPr>
              <w:pStyle w:val="TableParagraph"/>
            </w:pPr>
          </w:p>
        </w:tc>
        <w:tc>
          <w:tcPr>
            <w:tcW w:w="3503" w:type="dxa"/>
            <w:shd w:val="clear" w:color="auto" w:fill="auto"/>
          </w:tcPr>
          <w:p w14:paraId="2F178834" w14:textId="77777777" w:rsidR="00CF1CA4" w:rsidRDefault="00CF1CA4" w:rsidP="00626BF1">
            <w:pPr>
              <w:pStyle w:val="TableParagraph"/>
              <w:spacing w:before="11"/>
              <w:rPr>
                <w:sz w:val="21"/>
              </w:rPr>
            </w:pPr>
          </w:p>
        </w:tc>
        <w:tc>
          <w:tcPr>
            <w:tcW w:w="4772" w:type="dxa"/>
            <w:shd w:val="clear" w:color="auto" w:fill="auto"/>
          </w:tcPr>
          <w:p w14:paraId="34D107DC" w14:textId="77777777" w:rsidR="00CF1CA4" w:rsidRDefault="00CF1CA4" w:rsidP="00626BF1">
            <w:pPr>
              <w:pStyle w:val="TableParagraph"/>
            </w:pPr>
          </w:p>
        </w:tc>
        <w:tc>
          <w:tcPr>
            <w:tcW w:w="4475" w:type="dxa"/>
            <w:shd w:val="clear" w:color="auto" w:fill="auto"/>
          </w:tcPr>
          <w:p w14:paraId="52275C03" w14:textId="77777777" w:rsidR="00CF1CA4" w:rsidRDefault="00CF1CA4" w:rsidP="00626BF1">
            <w:pPr>
              <w:pStyle w:val="TableParagraph"/>
              <w:spacing w:before="99" w:line="273" w:lineRule="auto"/>
              <w:ind w:left="490" w:right="476"/>
              <w:jc w:val="center"/>
              <w:rPr>
                <w:b/>
              </w:rPr>
            </w:pPr>
          </w:p>
        </w:tc>
      </w:tr>
      <w:tr w:rsidR="00CF1CA4" w14:paraId="3928C98A" w14:textId="77777777" w:rsidTr="00D924BD">
        <w:trPr>
          <w:trHeight w:val="460"/>
        </w:trPr>
        <w:tc>
          <w:tcPr>
            <w:tcW w:w="1268" w:type="dxa"/>
            <w:shd w:val="clear" w:color="auto" w:fill="auto"/>
          </w:tcPr>
          <w:p w14:paraId="738905BE" w14:textId="77777777" w:rsidR="00CF1CA4" w:rsidRDefault="00CF1CA4" w:rsidP="00626BF1">
            <w:pPr>
              <w:pStyle w:val="TableParagraph"/>
            </w:pPr>
          </w:p>
        </w:tc>
        <w:tc>
          <w:tcPr>
            <w:tcW w:w="3503" w:type="dxa"/>
            <w:shd w:val="clear" w:color="auto" w:fill="auto"/>
          </w:tcPr>
          <w:p w14:paraId="6AAE352B" w14:textId="77777777" w:rsidR="00CF1CA4" w:rsidRDefault="00CF1CA4" w:rsidP="00626BF1">
            <w:pPr>
              <w:pStyle w:val="TableParagraph"/>
              <w:spacing w:before="11"/>
              <w:rPr>
                <w:sz w:val="21"/>
              </w:rPr>
            </w:pPr>
          </w:p>
        </w:tc>
        <w:tc>
          <w:tcPr>
            <w:tcW w:w="4772" w:type="dxa"/>
            <w:shd w:val="clear" w:color="auto" w:fill="auto"/>
          </w:tcPr>
          <w:p w14:paraId="383AA93C" w14:textId="77777777" w:rsidR="00CF1CA4" w:rsidRDefault="00CF1CA4" w:rsidP="00626BF1">
            <w:pPr>
              <w:pStyle w:val="TableParagraph"/>
            </w:pPr>
          </w:p>
        </w:tc>
        <w:tc>
          <w:tcPr>
            <w:tcW w:w="4475" w:type="dxa"/>
            <w:shd w:val="clear" w:color="auto" w:fill="auto"/>
          </w:tcPr>
          <w:p w14:paraId="3D7B2AE1" w14:textId="77777777" w:rsidR="00CF1CA4" w:rsidRDefault="00CF1CA4" w:rsidP="00626BF1">
            <w:pPr>
              <w:pStyle w:val="TableParagraph"/>
              <w:spacing w:before="99" w:line="273" w:lineRule="auto"/>
              <w:ind w:left="490" w:right="476"/>
              <w:jc w:val="center"/>
              <w:rPr>
                <w:b/>
              </w:rPr>
            </w:pPr>
          </w:p>
        </w:tc>
      </w:tr>
      <w:tr w:rsidR="00CF1CA4" w14:paraId="2EDFE999" w14:textId="77777777" w:rsidTr="00D924BD">
        <w:trPr>
          <w:trHeight w:val="460"/>
        </w:trPr>
        <w:tc>
          <w:tcPr>
            <w:tcW w:w="1268" w:type="dxa"/>
            <w:shd w:val="clear" w:color="auto" w:fill="auto"/>
          </w:tcPr>
          <w:p w14:paraId="6CC877C4" w14:textId="77777777" w:rsidR="00CF1CA4" w:rsidRDefault="00CF1CA4" w:rsidP="00626BF1">
            <w:pPr>
              <w:pStyle w:val="TableParagraph"/>
            </w:pPr>
          </w:p>
        </w:tc>
        <w:tc>
          <w:tcPr>
            <w:tcW w:w="3503" w:type="dxa"/>
            <w:shd w:val="clear" w:color="auto" w:fill="auto"/>
          </w:tcPr>
          <w:p w14:paraId="61A782BA" w14:textId="77777777" w:rsidR="00CF1CA4" w:rsidRDefault="00CF1CA4" w:rsidP="00626BF1">
            <w:pPr>
              <w:pStyle w:val="TableParagraph"/>
              <w:spacing w:before="11"/>
              <w:rPr>
                <w:sz w:val="21"/>
              </w:rPr>
            </w:pPr>
          </w:p>
        </w:tc>
        <w:tc>
          <w:tcPr>
            <w:tcW w:w="4772" w:type="dxa"/>
            <w:shd w:val="clear" w:color="auto" w:fill="auto"/>
          </w:tcPr>
          <w:p w14:paraId="724F0264" w14:textId="77777777" w:rsidR="00CF1CA4" w:rsidRDefault="00CF1CA4" w:rsidP="00626BF1">
            <w:pPr>
              <w:pStyle w:val="TableParagraph"/>
            </w:pPr>
          </w:p>
        </w:tc>
        <w:tc>
          <w:tcPr>
            <w:tcW w:w="4475" w:type="dxa"/>
            <w:shd w:val="clear" w:color="auto" w:fill="auto"/>
          </w:tcPr>
          <w:p w14:paraId="5C1BBAF3" w14:textId="77777777" w:rsidR="00CF1CA4" w:rsidRDefault="00CF1CA4" w:rsidP="00626BF1">
            <w:pPr>
              <w:pStyle w:val="TableParagraph"/>
              <w:spacing w:before="99" w:line="273" w:lineRule="auto"/>
              <w:ind w:left="490" w:right="476"/>
              <w:jc w:val="center"/>
              <w:rPr>
                <w:b/>
              </w:rPr>
            </w:pPr>
          </w:p>
        </w:tc>
      </w:tr>
      <w:tr w:rsidR="00CF1CA4" w14:paraId="5B915CEE" w14:textId="77777777" w:rsidTr="00D924BD">
        <w:trPr>
          <w:trHeight w:val="460"/>
        </w:trPr>
        <w:tc>
          <w:tcPr>
            <w:tcW w:w="1268" w:type="dxa"/>
            <w:shd w:val="clear" w:color="auto" w:fill="auto"/>
          </w:tcPr>
          <w:p w14:paraId="52132A74" w14:textId="77777777" w:rsidR="00CF1CA4" w:rsidRDefault="00CF1CA4" w:rsidP="00626BF1">
            <w:pPr>
              <w:pStyle w:val="TableParagraph"/>
            </w:pPr>
          </w:p>
        </w:tc>
        <w:tc>
          <w:tcPr>
            <w:tcW w:w="3503" w:type="dxa"/>
            <w:shd w:val="clear" w:color="auto" w:fill="auto"/>
          </w:tcPr>
          <w:p w14:paraId="44507956" w14:textId="77777777" w:rsidR="00CF1CA4" w:rsidRDefault="00CF1CA4" w:rsidP="00626BF1">
            <w:pPr>
              <w:pStyle w:val="TableParagraph"/>
              <w:spacing w:before="11"/>
              <w:rPr>
                <w:sz w:val="21"/>
              </w:rPr>
            </w:pPr>
          </w:p>
        </w:tc>
        <w:tc>
          <w:tcPr>
            <w:tcW w:w="4772" w:type="dxa"/>
            <w:shd w:val="clear" w:color="auto" w:fill="auto"/>
          </w:tcPr>
          <w:p w14:paraId="5E4B9FDF" w14:textId="77777777" w:rsidR="00CF1CA4" w:rsidRDefault="00CF1CA4" w:rsidP="00626BF1">
            <w:pPr>
              <w:pStyle w:val="TableParagraph"/>
            </w:pPr>
          </w:p>
        </w:tc>
        <w:tc>
          <w:tcPr>
            <w:tcW w:w="4475" w:type="dxa"/>
            <w:shd w:val="clear" w:color="auto" w:fill="auto"/>
          </w:tcPr>
          <w:p w14:paraId="164120BB" w14:textId="77777777" w:rsidR="00CF1CA4" w:rsidRDefault="00CF1CA4" w:rsidP="00626BF1">
            <w:pPr>
              <w:pStyle w:val="TableParagraph"/>
              <w:spacing w:before="99" w:line="273" w:lineRule="auto"/>
              <w:ind w:left="490" w:right="476"/>
              <w:jc w:val="center"/>
              <w:rPr>
                <w:b/>
              </w:rPr>
            </w:pPr>
          </w:p>
        </w:tc>
      </w:tr>
      <w:tr w:rsidR="00CF1CA4" w14:paraId="19B91FD1" w14:textId="77777777" w:rsidTr="00D924BD">
        <w:trPr>
          <w:trHeight w:val="460"/>
        </w:trPr>
        <w:tc>
          <w:tcPr>
            <w:tcW w:w="1268" w:type="dxa"/>
            <w:shd w:val="clear" w:color="auto" w:fill="auto"/>
          </w:tcPr>
          <w:p w14:paraId="72A6FCBC" w14:textId="77777777" w:rsidR="00CF1CA4" w:rsidRDefault="00CF1CA4" w:rsidP="00626BF1">
            <w:pPr>
              <w:pStyle w:val="TableParagraph"/>
            </w:pPr>
          </w:p>
        </w:tc>
        <w:tc>
          <w:tcPr>
            <w:tcW w:w="3503" w:type="dxa"/>
            <w:shd w:val="clear" w:color="auto" w:fill="auto"/>
          </w:tcPr>
          <w:p w14:paraId="0B3AB62E" w14:textId="77777777" w:rsidR="00CF1CA4" w:rsidRDefault="00CF1CA4" w:rsidP="00626BF1">
            <w:pPr>
              <w:pStyle w:val="TableParagraph"/>
              <w:spacing w:before="11"/>
              <w:rPr>
                <w:sz w:val="21"/>
              </w:rPr>
            </w:pPr>
          </w:p>
        </w:tc>
        <w:tc>
          <w:tcPr>
            <w:tcW w:w="4772" w:type="dxa"/>
            <w:shd w:val="clear" w:color="auto" w:fill="auto"/>
          </w:tcPr>
          <w:p w14:paraId="666BBC2E" w14:textId="77777777" w:rsidR="00CF1CA4" w:rsidRDefault="00CF1CA4" w:rsidP="00626BF1">
            <w:pPr>
              <w:pStyle w:val="TableParagraph"/>
            </w:pPr>
          </w:p>
        </w:tc>
        <w:tc>
          <w:tcPr>
            <w:tcW w:w="4475" w:type="dxa"/>
            <w:shd w:val="clear" w:color="auto" w:fill="auto"/>
          </w:tcPr>
          <w:p w14:paraId="4E1F16C3" w14:textId="77777777" w:rsidR="00CF1CA4" w:rsidRDefault="00CF1CA4" w:rsidP="00626BF1">
            <w:pPr>
              <w:pStyle w:val="TableParagraph"/>
              <w:spacing w:before="99" w:line="273" w:lineRule="auto"/>
              <w:ind w:left="490" w:right="476"/>
              <w:jc w:val="center"/>
              <w:rPr>
                <w:b/>
              </w:rPr>
            </w:pPr>
          </w:p>
        </w:tc>
      </w:tr>
      <w:tr w:rsidR="00CF1CA4" w14:paraId="292B633C" w14:textId="77777777" w:rsidTr="00D924BD">
        <w:trPr>
          <w:trHeight w:val="460"/>
        </w:trPr>
        <w:tc>
          <w:tcPr>
            <w:tcW w:w="1268" w:type="dxa"/>
            <w:shd w:val="clear" w:color="auto" w:fill="auto"/>
          </w:tcPr>
          <w:p w14:paraId="6E065AC2" w14:textId="77777777" w:rsidR="00CF1CA4" w:rsidRDefault="00CF1CA4" w:rsidP="00626BF1">
            <w:pPr>
              <w:pStyle w:val="TableParagraph"/>
            </w:pPr>
          </w:p>
        </w:tc>
        <w:tc>
          <w:tcPr>
            <w:tcW w:w="3503" w:type="dxa"/>
            <w:shd w:val="clear" w:color="auto" w:fill="auto"/>
          </w:tcPr>
          <w:p w14:paraId="04D4A969" w14:textId="77777777" w:rsidR="00CF1CA4" w:rsidRDefault="00CF1CA4" w:rsidP="00626BF1">
            <w:pPr>
              <w:pStyle w:val="TableParagraph"/>
              <w:spacing w:before="11"/>
              <w:rPr>
                <w:sz w:val="21"/>
              </w:rPr>
            </w:pPr>
          </w:p>
        </w:tc>
        <w:tc>
          <w:tcPr>
            <w:tcW w:w="4772" w:type="dxa"/>
            <w:shd w:val="clear" w:color="auto" w:fill="auto"/>
          </w:tcPr>
          <w:p w14:paraId="6D73C808" w14:textId="77777777" w:rsidR="00CF1CA4" w:rsidRDefault="00CF1CA4" w:rsidP="00626BF1">
            <w:pPr>
              <w:pStyle w:val="TableParagraph"/>
            </w:pPr>
          </w:p>
        </w:tc>
        <w:tc>
          <w:tcPr>
            <w:tcW w:w="4475" w:type="dxa"/>
            <w:shd w:val="clear" w:color="auto" w:fill="auto"/>
          </w:tcPr>
          <w:p w14:paraId="0DCDBF2A" w14:textId="77777777" w:rsidR="00CF1CA4" w:rsidRDefault="00CF1CA4" w:rsidP="00626BF1">
            <w:pPr>
              <w:pStyle w:val="TableParagraph"/>
              <w:spacing w:before="99" w:line="273" w:lineRule="auto"/>
              <w:ind w:left="490" w:right="476"/>
              <w:jc w:val="center"/>
              <w:rPr>
                <w:b/>
              </w:rPr>
            </w:pPr>
          </w:p>
        </w:tc>
      </w:tr>
      <w:tr w:rsidR="00CF1CA4" w14:paraId="29C88665" w14:textId="77777777" w:rsidTr="00D924BD">
        <w:trPr>
          <w:trHeight w:val="460"/>
        </w:trPr>
        <w:tc>
          <w:tcPr>
            <w:tcW w:w="1268" w:type="dxa"/>
            <w:shd w:val="clear" w:color="auto" w:fill="auto"/>
          </w:tcPr>
          <w:p w14:paraId="008AB863" w14:textId="77777777" w:rsidR="00CF1CA4" w:rsidRDefault="00CF1CA4" w:rsidP="00626BF1">
            <w:pPr>
              <w:pStyle w:val="TableParagraph"/>
            </w:pPr>
          </w:p>
        </w:tc>
        <w:tc>
          <w:tcPr>
            <w:tcW w:w="3503" w:type="dxa"/>
            <w:shd w:val="clear" w:color="auto" w:fill="auto"/>
          </w:tcPr>
          <w:p w14:paraId="64D05B4B" w14:textId="77777777" w:rsidR="00CF1CA4" w:rsidRDefault="00CF1CA4" w:rsidP="00626BF1">
            <w:pPr>
              <w:pStyle w:val="TableParagraph"/>
              <w:spacing w:before="11"/>
              <w:rPr>
                <w:sz w:val="21"/>
              </w:rPr>
            </w:pPr>
          </w:p>
        </w:tc>
        <w:tc>
          <w:tcPr>
            <w:tcW w:w="4772" w:type="dxa"/>
            <w:shd w:val="clear" w:color="auto" w:fill="auto"/>
          </w:tcPr>
          <w:p w14:paraId="284B4855" w14:textId="77777777" w:rsidR="00CF1CA4" w:rsidRDefault="00CF1CA4" w:rsidP="00626BF1">
            <w:pPr>
              <w:pStyle w:val="TableParagraph"/>
            </w:pPr>
          </w:p>
        </w:tc>
        <w:tc>
          <w:tcPr>
            <w:tcW w:w="4475" w:type="dxa"/>
            <w:shd w:val="clear" w:color="auto" w:fill="auto"/>
          </w:tcPr>
          <w:p w14:paraId="6B229C06" w14:textId="77777777" w:rsidR="00CF1CA4" w:rsidRDefault="00CF1CA4" w:rsidP="00626BF1">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lastRenderedPageBreak/>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77777777" w:rsidR="00CF1CA4" w:rsidRDefault="00CF1CA4" w:rsidP="00626BF1">
            <w:pPr>
              <w:pStyle w:val="TableParagraph"/>
              <w:spacing w:before="9"/>
              <w:rPr>
                <w:sz w:val="32"/>
              </w:rPr>
            </w:pPr>
          </w:p>
        </w:tc>
        <w:tc>
          <w:tcPr>
            <w:tcW w:w="3578" w:type="dxa"/>
            <w:shd w:val="clear" w:color="auto" w:fill="auto"/>
          </w:tcPr>
          <w:p w14:paraId="58E43174" w14:textId="77777777" w:rsidR="00CF1CA4" w:rsidRDefault="00CF1CA4" w:rsidP="00626BF1">
            <w:pPr>
              <w:pStyle w:val="TableParagraph"/>
              <w:spacing w:before="2"/>
              <w:rPr>
                <w:sz w:val="20"/>
              </w:rPr>
            </w:pPr>
          </w:p>
        </w:tc>
        <w:tc>
          <w:tcPr>
            <w:tcW w:w="4447" w:type="dxa"/>
            <w:shd w:val="clear" w:color="auto" w:fill="auto"/>
          </w:tcPr>
          <w:p w14:paraId="454A11BF" w14:textId="77777777" w:rsidR="00CF1CA4" w:rsidRDefault="00CF1CA4" w:rsidP="00626BF1">
            <w:pPr>
              <w:pStyle w:val="TableParagraph"/>
              <w:spacing w:before="2"/>
              <w:rPr>
                <w:sz w:val="20"/>
              </w:rPr>
            </w:pPr>
          </w:p>
        </w:tc>
      </w:tr>
      <w:tr w:rsidR="00CF1CA4" w14:paraId="3C8A2698" w14:textId="77777777" w:rsidTr="00D924BD">
        <w:trPr>
          <w:trHeight w:val="406"/>
        </w:trPr>
        <w:tc>
          <w:tcPr>
            <w:tcW w:w="5895" w:type="dxa"/>
            <w:shd w:val="clear" w:color="auto" w:fill="auto"/>
          </w:tcPr>
          <w:p w14:paraId="481CFA4C" w14:textId="77777777" w:rsidR="00CF1CA4" w:rsidRDefault="00CF1CA4" w:rsidP="00626BF1">
            <w:pPr>
              <w:pStyle w:val="TableParagraph"/>
              <w:spacing w:before="9"/>
              <w:rPr>
                <w:sz w:val="32"/>
              </w:rPr>
            </w:pPr>
          </w:p>
        </w:tc>
        <w:tc>
          <w:tcPr>
            <w:tcW w:w="3578" w:type="dxa"/>
            <w:shd w:val="clear" w:color="auto" w:fill="auto"/>
          </w:tcPr>
          <w:p w14:paraId="1ABB1811" w14:textId="77777777" w:rsidR="00CF1CA4" w:rsidRDefault="00CF1CA4" w:rsidP="00626BF1">
            <w:pPr>
              <w:pStyle w:val="TableParagraph"/>
              <w:spacing w:before="2"/>
              <w:rPr>
                <w:sz w:val="20"/>
              </w:rPr>
            </w:pPr>
          </w:p>
        </w:tc>
        <w:tc>
          <w:tcPr>
            <w:tcW w:w="4447" w:type="dxa"/>
            <w:shd w:val="clear" w:color="auto" w:fill="auto"/>
          </w:tcPr>
          <w:p w14:paraId="16971194" w14:textId="77777777" w:rsidR="00CF1CA4" w:rsidRDefault="00CF1CA4" w:rsidP="00626BF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626BF1">
            <w:pPr>
              <w:pStyle w:val="TableParagraph"/>
              <w:spacing w:before="9"/>
              <w:rPr>
                <w:sz w:val="32"/>
              </w:rPr>
            </w:pPr>
          </w:p>
        </w:tc>
        <w:tc>
          <w:tcPr>
            <w:tcW w:w="3578" w:type="dxa"/>
            <w:shd w:val="clear" w:color="auto" w:fill="auto"/>
          </w:tcPr>
          <w:p w14:paraId="21979D00" w14:textId="77777777" w:rsidR="00CF1CA4" w:rsidRDefault="00CF1CA4" w:rsidP="00626BF1">
            <w:pPr>
              <w:pStyle w:val="TableParagraph"/>
              <w:spacing w:before="2"/>
              <w:rPr>
                <w:sz w:val="20"/>
              </w:rPr>
            </w:pPr>
          </w:p>
        </w:tc>
        <w:tc>
          <w:tcPr>
            <w:tcW w:w="4447" w:type="dxa"/>
            <w:shd w:val="clear" w:color="auto" w:fill="auto"/>
          </w:tcPr>
          <w:p w14:paraId="506EBE80" w14:textId="77777777" w:rsidR="00CF1CA4" w:rsidRDefault="00CF1CA4" w:rsidP="00626BF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626BF1">
            <w:pPr>
              <w:pStyle w:val="TableParagraph"/>
              <w:spacing w:before="9"/>
              <w:rPr>
                <w:sz w:val="32"/>
              </w:rPr>
            </w:pPr>
          </w:p>
        </w:tc>
        <w:tc>
          <w:tcPr>
            <w:tcW w:w="3578" w:type="dxa"/>
            <w:shd w:val="clear" w:color="auto" w:fill="auto"/>
          </w:tcPr>
          <w:p w14:paraId="1E58D455" w14:textId="77777777" w:rsidR="00CF1CA4" w:rsidRDefault="00CF1CA4" w:rsidP="00626BF1">
            <w:pPr>
              <w:pStyle w:val="TableParagraph"/>
              <w:spacing w:before="2"/>
              <w:rPr>
                <w:sz w:val="20"/>
              </w:rPr>
            </w:pPr>
          </w:p>
        </w:tc>
        <w:tc>
          <w:tcPr>
            <w:tcW w:w="4447" w:type="dxa"/>
            <w:shd w:val="clear" w:color="auto" w:fill="auto"/>
          </w:tcPr>
          <w:p w14:paraId="50D68656" w14:textId="77777777" w:rsidR="00CF1CA4" w:rsidRDefault="00CF1CA4" w:rsidP="00626BF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626BF1">
            <w:pPr>
              <w:pStyle w:val="TableParagraph"/>
              <w:spacing w:before="9"/>
              <w:rPr>
                <w:sz w:val="32"/>
              </w:rPr>
            </w:pPr>
          </w:p>
        </w:tc>
        <w:tc>
          <w:tcPr>
            <w:tcW w:w="3578" w:type="dxa"/>
            <w:shd w:val="clear" w:color="auto" w:fill="auto"/>
          </w:tcPr>
          <w:p w14:paraId="37D0CA0B" w14:textId="77777777" w:rsidR="00CF1CA4" w:rsidRDefault="00CF1CA4" w:rsidP="00626BF1">
            <w:pPr>
              <w:pStyle w:val="TableParagraph"/>
              <w:spacing w:before="2"/>
              <w:rPr>
                <w:sz w:val="20"/>
              </w:rPr>
            </w:pPr>
          </w:p>
        </w:tc>
        <w:tc>
          <w:tcPr>
            <w:tcW w:w="4447" w:type="dxa"/>
            <w:shd w:val="clear" w:color="auto" w:fill="auto"/>
          </w:tcPr>
          <w:p w14:paraId="5FE3D28C" w14:textId="77777777" w:rsidR="00CF1CA4" w:rsidRDefault="00CF1CA4" w:rsidP="00626BF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626BF1">
            <w:pPr>
              <w:pStyle w:val="TableParagraph"/>
              <w:spacing w:before="9"/>
              <w:rPr>
                <w:sz w:val="32"/>
              </w:rPr>
            </w:pPr>
          </w:p>
        </w:tc>
        <w:tc>
          <w:tcPr>
            <w:tcW w:w="3578" w:type="dxa"/>
            <w:shd w:val="clear" w:color="auto" w:fill="auto"/>
          </w:tcPr>
          <w:p w14:paraId="48A1EB6A" w14:textId="77777777" w:rsidR="00CF1CA4" w:rsidRDefault="00CF1CA4" w:rsidP="00626BF1">
            <w:pPr>
              <w:pStyle w:val="TableParagraph"/>
              <w:spacing w:before="2"/>
              <w:rPr>
                <w:sz w:val="20"/>
              </w:rPr>
            </w:pPr>
          </w:p>
        </w:tc>
        <w:tc>
          <w:tcPr>
            <w:tcW w:w="4447" w:type="dxa"/>
            <w:shd w:val="clear" w:color="auto" w:fill="auto"/>
          </w:tcPr>
          <w:p w14:paraId="06D12923" w14:textId="77777777" w:rsidR="00CF1CA4" w:rsidRDefault="00CF1CA4" w:rsidP="00626BF1">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14" w:name="_Table_12._Examples"/>
      <w:bookmarkEnd w:id="14"/>
      <w:r w:rsidRPr="005C054D">
        <w:rPr>
          <w:color w:val="auto"/>
        </w:rPr>
        <w:lastRenderedPageBreak/>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626BF1">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D924BD">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CF1CA4" w14:paraId="6A4E13C4" w14:textId="77777777" w:rsidTr="00CF1CA4">
        <w:trPr>
          <w:trHeight w:val="262"/>
        </w:trPr>
        <w:tc>
          <w:tcPr>
            <w:tcW w:w="8195" w:type="dxa"/>
            <w:shd w:val="clear" w:color="auto" w:fill="auto"/>
          </w:tcPr>
          <w:p w14:paraId="607134F4" w14:textId="579A1C94" w:rsidR="00CF1CA4" w:rsidRPr="00E3634A" w:rsidRDefault="00E3634A" w:rsidP="00626BF1">
            <w:pPr>
              <w:pStyle w:val="TableParagraph"/>
              <w:spacing w:before="100"/>
              <w:ind w:left="884" w:right="879"/>
              <w:jc w:val="center"/>
            </w:pPr>
            <w:r w:rsidRPr="00E3634A">
              <w:t xml:space="preserve">GLDC impact estimation strategy </w:t>
            </w:r>
          </w:p>
        </w:tc>
        <w:tc>
          <w:tcPr>
            <w:tcW w:w="5833" w:type="dxa"/>
            <w:shd w:val="clear" w:color="auto" w:fill="auto"/>
          </w:tcPr>
          <w:p w14:paraId="72094FFA" w14:textId="1DAF6C46" w:rsidR="00CF1CA4" w:rsidRPr="00E3634A" w:rsidRDefault="00E3634A" w:rsidP="00626BF1">
            <w:pPr>
              <w:pStyle w:val="TableParagraph"/>
              <w:spacing w:before="100" w:line="276" w:lineRule="auto"/>
              <w:ind w:left="127" w:right="115"/>
              <w:jc w:val="center"/>
            </w:pPr>
            <w:r w:rsidRPr="00E3634A">
              <w:t>MELIA</w:t>
            </w:r>
          </w:p>
        </w:tc>
      </w:tr>
      <w:tr w:rsidR="00CF1CA4" w14:paraId="61221BE7" w14:textId="77777777" w:rsidTr="00CF1CA4">
        <w:trPr>
          <w:trHeight w:val="262"/>
        </w:trPr>
        <w:tc>
          <w:tcPr>
            <w:tcW w:w="8195" w:type="dxa"/>
            <w:shd w:val="clear" w:color="auto" w:fill="auto"/>
          </w:tcPr>
          <w:p w14:paraId="7B1C276E" w14:textId="77777777" w:rsidR="00CF1CA4" w:rsidRDefault="00CF1CA4" w:rsidP="00626BF1">
            <w:pPr>
              <w:pStyle w:val="TableParagraph"/>
              <w:spacing w:before="100"/>
              <w:ind w:left="884" w:right="879"/>
              <w:jc w:val="center"/>
              <w:rPr>
                <w:b/>
              </w:rPr>
            </w:pPr>
          </w:p>
        </w:tc>
        <w:tc>
          <w:tcPr>
            <w:tcW w:w="5833" w:type="dxa"/>
            <w:shd w:val="clear" w:color="auto" w:fill="auto"/>
          </w:tcPr>
          <w:p w14:paraId="0221AE23" w14:textId="77777777" w:rsidR="00CF1CA4" w:rsidRDefault="00CF1CA4" w:rsidP="00626BF1">
            <w:pPr>
              <w:pStyle w:val="TableParagraph"/>
              <w:spacing w:before="100" w:line="276" w:lineRule="auto"/>
              <w:ind w:left="127" w:right="115"/>
              <w:jc w:val="center"/>
              <w:rPr>
                <w:b/>
              </w:rPr>
            </w:pPr>
          </w:p>
        </w:tc>
      </w:tr>
      <w:tr w:rsidR="00CF1CA4" w14:paraId="34CE77F6" w14:textId="77777777" w:rsidTr="00CF1CA4">
        <w:trPr>
          <w:trHeight w:val="262"/>
        </w:trPr>
        <w:tc>
          <w:tcPr>
            <w:tcW w:w="8195" w:type="dxa"/>
            <w:shd w:val="clear" w:color="auto" w:fill="auto"/>
          </w:tcPr>
          <w:p w14:paraId="3E30639A" w14:textId="77777777" w:rsidR="00CF1CA4" w:rsidRDefault="00CF1CA4" w:rsidP="00626BF1">
            <w:pPr>
              <w:pStyle w:val="TableParagraph"/>
              <w:spacing w:before="100"/>
              <w:ind w:left="884" w:right="879"/>
              <w:jc w:val="center"/>
              <w:rPr>
                <w:b/>
              </w:rPr>
            </w:pPr>
          </w:p>
        </w:tc>
        <w:tc>
          <w:tcPr>
            <w:tcW w:w="5833" w:type="dxa"/>
            <w:shd w:val="clear" w:color="auto" w:fill="auto"/>
          </w:tcPr>
          <w:p w14:paraId="6169D99E" w14:textId="77777777" w:rsidR="00CF1CA4" w:rsidRDefault="00CF1CA4" w:rsidP="00626BF1">
            <w:pPr>
              <w:pStyle w:val="TableParagraph"/>
              <w:spacing w:before="100" w:line="276" w:lineRule="auto"/>
              <w:ind w:left="127" w:right="115"/>
              <w:jc w:val="center"/>
              <w:rPr>
                <w:b/>
              </w:rPr>
            </w:pPr>
          </w:p>
        </w:tc>
      </w:tr>
      <w:tr w:rsidR="00CF1CA4" w14:paraId="3CD79BE4" w14:textId="77777777" w:rsidTr="00CF1CA4">
        <w:trPr>
          <w:trHeight w:val="262"/>
        </w:trPr>
        <w:tc>
          <w:tcPr>
            <w:tcW w:w="8195" w:type="dxa"/>
            <w:shd w:val="clear" w:color="auto" w:fill="auto"/>
          </w:tcPr>
          <w:p w14:paraId="6FDCF1FB" w14:textId="77777777" w:rsidR="00CF1CA4" w:rsidRDefault="00CF1CA4" w:rsidP="00626BF1">
            <w:pPr>
              <w:pStyle w:val="TableParagraph"/>
              <w:spacing w:before="100"/>
              <w:ind w:left="884" w:right="879"/>
              <w:jc w:val="center"/>
              <w:rPr>
                <w:b/>
              </w:rPr>
            </w:pPr>
          </w:p>
        </w:tc>
        <w:tc>
          <w:tcPr>
            <w:tcW w:w="5833" w:type="dxa"/>
            <w:shd w:val="clear" w:color="auto" w:fill="auto"/>
          </w:tcPr>
          <w:p w14:paraId="0A3C0D51" w14:textId="77777777" w:rsidR="00CF1CA4" w:rsidRDefault="00CF1CA4" w:rsidP="00626BF1">
            <w:pPr>
              <w:pStyle w:val="TableParagraph"/>
              <w:spacing w:before="100" w:line="276" w:lineRule="auto"/>
              <w:ind w:left="127" w:right="115"/>
              <w:jc w:val="center"/>
              <w:rPr>
                <w:b/>
              </w:rPr>
            </w:pPr>
          </w:p>
        </w:tc>
      </w:tr>
      <w:tr w:rsidR="00CF1CA4" w14:paraId="3485A2F7" w14:textId="77777777" w:rsidTr="00CF1CA4">
        <w:trPr>
          <w:trHeight w:val="262"/>
        </w:trPr>
        <w:tc>
          <w:tcPr>
            <w:tcW w:w="8195" w:type="dxa"/>
            <w:shd w:val="clear" w:color="auto" w:fill="auto"/>
          </w:tcPr>
          <w:p w14:paraId="6DE6A38D" w14:textId="77777777" w:rsidR="00CF1CA4" w:rsidRDefault="00CF1CA4" w:rsidP="00626BF1">
            <w:pPr>
              <w:pStyle w:val="TableParagraph"/>
              <w:spacing w:before="100"/>
              <w:ind w:left="884" w:right="879"/>
              <w:jc w:val="center"/>
              <w:rPr>
                <w:b/>
              </w:rPr>
            </w:pPr>
          </w:p>
        </w:tc>
        <w:tc>
          <w:tcPr>
            <w:tcW w:w="5833" w:type="dxa"/>
            <w:shd w:val="clear" w:color="auto" w:fill="auto"/>
          </w:tcPr>
          <w:p w14:paraId="441D5654" w14:textId="77777777" w:rsidR="00CF1CA4" w:rsidRDefault="00CF1CA4" w:rsidP="00626BF1">
            <w:pPr>
              <w:pStyle w:val="TableParagraph"/>
              <w:spacing w:before="100" w:line="276" w:lineRule="auto"/>
              <w:ind w:left="127" w:right="115"/>
              <w:jc w:val="center"/>
              <w:rPr>
                <w:b/>
              </w:rPr>
            </w:pPr>
          </w:p>
        </w:tc>
      </w:tr>
      <w:tr w:rsidR="00CF1CA4" w14:paraId="50B21C8E" w14:textId="77777777" w:rsidTr="00CF1CA4">
        <w:trPr>
          <w:trHeight w:val="262"/>
        </w:trPr>
        <w:tc>
          <w:tcPr>
            <w:tcW w:w="8195" w:type="dxa"/>
            <w:shd w:val="clear" w:color="auto" w:fill="auto"/>
          </w:tcPr>
          <w:p w14:paraId="05C9BE64" w14:textId="77777777" w:rsidR="00CF1CA4" w:rsidRDefault="00CF1CA4" w:rsidP="00626BF1">
            <w:pPr>
              <w:pStyle w:val="TableParagraph"/>
              <w:spacing w:before="100"/>
              <w:ind w:left="884" w:right="879"/>
              <w:jc w:val="center"/>
              <w:rPr>
                <w:b/>
              </w:rPr>
            </w:pPr>
          </w:p>
        </w:tc>
        <w:tc>
          <w:tcPr>
            <w:tcW w:w="5833" w:type="dxa"/>
            <w:shd w:val="clear" w:color="auto" w:fill="auto"/>
          </w:tcPr>
          <w:p w14:paraId="2799C1F2" w14:textId="77777777" w:rsidR="00CF1CA4" w:rsidRDefault="00CF1CA4" w:rsidP="00626BF1">
            <w:pPr>
              <w:pStyle w:val="TableParagraph"/>
              <w:spacing w:before="100" w:line="276" w:lineRule="auto"/>
              <w:ind w:left="127" w:right="115"/>
              <w:jc w:val="center"/>
              <w:rPr>
                <w:b/>
              </w:rPr>
            </w:pPr>
          </w:p>
        </w:tc>
      </w:tr>
      <w:tr w:rsidR="00CF1CA4" w14:paraId="6F7FE7A7" w14:textId="77777777" w:rsidTr="00CF1CA4">
        <w:trPr>
          <w:trHeight w:val="262"/>
        </w:trPr>
        <w:tc>
          <w:tcPr>
            <w:tcW w:w="8195" w:type="dxa"/>
            <w:shd w:val="clear" w:color="auto" w:fill="auto"/>
          </w:tcPr>
          <w:p w14:paraId="5BFE63E7" w14:textId="77777777" w:rsidR="00CF1CA4" w:rsidRDefault="00CF1CA4" w:rsidP="00626BF1">
            <w:pPr>
              <w:pStyle w:val="TableParagraph"/>
              <w:spacing w:before="100"/>
              <w:ind w:left="884" w:right="879"/>
              <w:jc w:val="center"/>
              <w:rPr>
                <w:b/>
              </w:rPr>
            </w:pPr>
          </w:p>
        </w:tc>
        <w:tc>
          <w:tcPr>
            <w:tcW w:w="5833" w:type="dxa"/>
            <w:shd w:val="clear" w:color="auto" w:fill="auto"/>
          </w:tcPr>
          <w:p w14:paraId="494B7979" w14:textId="77777777" w:rsidR="00CF1CA4" w:rsidRDefault="00CF1CA4" w:rsidP="00626BF1">
            <w:pPr>
              <w:pStyle w:val="TableParagraph"/>
              <w:spacing w:before="100" w:line="276" w:lineRule="auto"/>
              <w:ind w:left="127" w:right="115"/>
              <w:jc w:val="center"/>
              <w:rPr>
                <w:b/>
              </w:rPr>
            </w:pPr>
          </w:p>
        </w:tc>
      </w:tr>
      <w:tr w:rsidR="00CF1CA4" w14:paraId="6D9216D8" w14:textId="77777777" w:rsidTr="00CF1CA4">
        <w:trPr>
          <w:trHeight w:val="262"/>
        </w:trPr>
        <w:tc>
          <w:tcPr>
            <w:tcW w:w="8195" w:type="dxa"/>
            <w:shd w:val="clear" w:color="auto" w:fill="auto"/>
          </w:tcPr>
          <w:p w14:paraId="18E6E390" w14:textId="77777777" w:rsidR="00CF1CA4" w:rsidRDefault="00CF1CA4" w:rsidP="00626BF1">
            <w:pPr>
              <w:pStyle w:val="TableParagraph"/>
              <w:spacing w:before="100"/>
              <w:ind w:left="884" w:right="879"/>
              <w:jc w:val="center"/>
              <w:rPr>
                <w:b/>
              </w:rPr>
            </w:pPr>
          </w:p>
        </w:tc>
        <w:tc>
          <w:tcPr>
            <w:tcW w:w="5833" w:type="dxa"/>
            <w:shd w:val="clear" w:color="auto" w:fill="auto"/>
          </w:tcPr>
          <w:p w14:paraId="6CB4C262" w14:textId="77777777" w:rsidR="00CF1CA4" w:rsidRDefault="00CF1CA4" w:rsidP="00626BF1">
            <w:pPr>
              <w:pStyle w:val="TableParagraph"/>
              <w:spacing w:before="100" w:line="276" w:lineRule="auto"/>
              <w:ind w:left="127" w:right="115"/>
              <w:jc w:val="center"/>
              <w:rPr>
                <w:b/>
              </w:rPr>
            </w:pPr>
          </w:p>
        </w:tc>
      </w:tr>
    </w:tbl>
    <w:p w14:paraId="4783B6C5" w14:textId="4A83512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lastRenderedPageBreak/>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5" w:name="_Guidance_for_Section"/>
      <w:bookmarkEnd w:id="15"/>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2A46A4"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6" w:name="_Guidance_for_Section_1"/>
      <w:bookmarkEnd w:id="16"/>
      <w:r w:rsidRPr="00E57AFC">
        <w:rPr>
          <w:color w:val="auto"/>
        </w:rPr>
        <w:t>Guidance for Section 1.2.2</w:t>
      </w:r>
    </w:p>
    <w:p w14:paraId="18EE9475" w14:textId="4E7C3EF2" w:rsidR="00184918" w:rsidRDefault="00184918" w:rsidP="00184918">
      <w:pPr>
        <w:spacing w:after="0" w:line="240" w:lineRule="auto"/>
      </w:pPr>
      <w:r>
        <w:t xml:space="preserve">Please  provide  brief  summary  narratives  about  how  </w:t>
      </w:r>
      <w:r w:rsidR="007A34AA">
        <w:t>this cluster has contributed to how the flagship</w:t>
      </w:r>
      <w:r>
        <w:t xml:space="preserve"> progressed towards the agreed ‘Program outcomes’, introducing Table 5 (Milestones) to the reader, highlighting (1) major pieces of work and innovations, and (2) any major course corrections. Where relevant, indicate </w:t>
      </w:r>
      <w:r w:rsidR="007A34AA">
        <w:t xml:space="preserve">cross-CoA and </w:t>
      </w:r>
      <w:r>
        <w:t xml:space="preserve">cross-flagship linkages and how one </w:t>
      </w:r>
      <w:r w:rsidR="007A34AA">
        <w:t>the cluster supported the 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2A46A4"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7" w:name="_Guidance_for_Section_2"/>
      <w:bookmarkEnd w:id="17"/>
      <w:r w:rsidRPr="00E57AFC">
        <w:rPr>
          <w:color w:val="auto"/>
        </w:rPr>
        <w:t>Guidance for Section 1.2.</w:t>
      </w:r>
      <w:r w:rsidR="00D81B2C" w:rsidRPr="00E57AFC">
        <w:rPr>
          <w:color w:val="auto"/>
        </w:rPr>
        <w:t>2.a</w:t>
      </w:r>
    </w:p>
    <w:p w14:paraId="6A1F91AF" w14:textId="0F7BD0C7" w:rsidR="00184918" w:rsidRDefault="00184918" w:rsidP="00184918">
      <w:pPr>
        <w:spacing w:after="0" w:line="240" w:lineRule="auto"/>
        <w:contextualSpacing/>
      </w:pPr>
      <w:r>
        <w:t xml:space="preserve">Please provide a brief summary about how </w:t>
      </w:r>
      <w:r w:rsidR="007A34AA">
        <w:t>this</w:t>
      </w:r>
      <w:r>
        <w:t xml:space="preserve"> </w:t>
      </w:r>
      <w:r w:rsidR="007A34AA">
        <w:t>cluster</w:t>
      </w:r>
      <w:r>
        <w:t xml:space="preserve">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2A46A4"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8" w:name="_Guidance_for_Section_3"/>
      <w:bookmarkEnd w:id="18"/>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 :</w:t>
      </w:r>
    </w:p>
    <w:p w14:paraId="446D32CF" w14:textId="3E6E1F96" w:rsidR="00327109" w:rsidRDefault="00D03C61" w:rsidP="00D03C61">
      <w:pPr>
        <w:spacing w:after="0" w:line="240" w:lineRule="auto"/>
        <w:ind w:left="450"/>
      </w:pPr>
      <w:r w:rsidRPr="00D03C61">
        <w:rPr>
          <w:b/>
          <w:bCs/>
          <w:color w:val="0070C0"/>
        </w:rPr>
        <w:t>1.2.3.a:</w:t>
      </w:r>
      <w:r>
        <w:t xml:space="preserve"> </w:t>
      </w:r>
      <w:r w:rsidR="00327109">
        <w:t xml:space="preserve">Have any promising research areas been significantly expanded? If so, for each example, please explain clearly where the demand came from (promising research </w:t>
      </w:r>
      <w:r w:rsidR="00327109">
        <w:lastRenderedPageBreak/>
        <w:t>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1A7D7F2B" w:rsidR="00327109" w:rsidRDefault="00D03C61" w:rsidP="00D03C61">
      <w:pPr>
        <w:spacing w:after="0" w:line="240" w:lineRule="auto"/>
        <w:ind w:left="450"/>
      </w:pPr>
      <w:r w:rsidRPr="00D03C61">
        <w:rPr>
          <w:b/>
          <w:bCs/>
          <w:color w:val="0070C0"/>
        </w:rPr>
        <w:t>1.2.3.c:</w:t>
      </w:r>
      <w:r>
        <w:t xml:space="preserve"> </w:t>
      </w:r>
      <w:r w:rsidR="007A34AA">
        <w:t>Has this cluster</w:t>
      </w:r>
      <w:r w:rsidR="00327109">
        <w:t>s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2A46A4"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9" w:name="_Guidance_for_Section_4"/>
      <w:bookmarkEnd w:id="19"/>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xml:space="preserve">) and </w:t>
      </w:r>
      <w:proofErr w:type="gramStart"/>
      <w:r>
        <w:t>make reference</w:t>
      </w:r>
      <w:proofErr w:type="gramEnd"/>
      <w:r>
        <w:t xml:space="preserv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2A46A4"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20" w:name="_Guidance_for_Section_5"/>
      <w:bookmarkEnd w:id="20"/>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2A46A4"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21" w:name="_Guidance_for_Section_6"/>
      <w:bookmarkEnd w:id="21"/>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2A46A4"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22" w:name="_Guidance_for_Table_1"/>
      <w:bookmarkEnd w:id="22"/>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 xml:space="preserve">If the adoption or impact data comes from a relevant innovation or contribution of the CGIAR prior to the CRP start-up (e.g. varieties released before the CRP start-up, which for most CRPs </w:t>
      </w:r>
      <w:r>
        <w:lastRenderedPageBreak/>
        <w:t>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biofortification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2A46A4"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23" w:name="_Guidance_for_Table"/>
      <w:bookmarkEnd w:id="23"/>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w:t>
      </w:r>
      <w:proofErr w:type="gramStart"/>
      <w:r>
        <w:t>disease, or</w:t>
      </w:r>
      <w:proofErr w:type="gramEnd"/>
      <w:r>
        <w:t xml:space="preserve">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w:t>
      </w:r>
      <w:proofErr w:type="gramStart"/>
      <w:r>
        <w:t>partnerships’</w:t>
      </w:r>
      <w:proofErr w:type="gramEnd"/>
      <w:r>
        <w:t>.</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Other, specify</w:t>
      </w:r>
      <w:r>
        <w:t xml:space="preserve">  ___________ </w:t>
      </w:r>
      <w:r>
        <w:tab/>
      </w:r>
    </w:p>
    <w:p w14:paraId="15597998" w14:textId="0C543A5E" w:rsidR="00D924BD" w:rsidRDefault="00D924BD" w:rsidP="00D924BD">
      <w:pPr>
        <w:spacing w:after="0" w:line="240" w:lineRule="auto"/>
      </w:pPr>
    </w:p>
    <w:p w14:paraId="164FE85D" w14:textId="061D168B" w:rsidR="00D924BD" w:rsidRPr="00D924BD" w:rsidRDefault="002A46A4"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5E64" w16cex:dateUtc="2020-12-17T21:47:00Z"/>
  <w16cex:commentExtensible w16cex:durableId="23865E4F" w16cex:dateUtc="2020-12-17T21:46:00Z"/>
  <w16cex:commentExtensible w16cex:durableId="23865E2D" w16cex:dateUtc="2020-12-17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75AA" w14:textId="77777777" w:rsidR="002A46A4" w:rsidRDefault="002A46A4" w:rsidP="00967AF7">
      <w:pPr>
        <w:spacing w:after="0" w:line="240" w:lineRule="auto"/>
      </w:pPr>
      <w:r>
        <w:separator/>
      </w:r>
    </w:p>
  </w:endnote>
  <w:endnote w:type="continuationSeparator" w:id="0">
    <w:p w14:paraId="4215938D" w14:textId="77777777" w:rsidR="002A46A4" w:rsidRDefault="002A46A4"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7E22" w14:textId="77777777" w:rsidR="002A46A4" w:rsidRDefault="002A46A4" w:rsidP="00967AF7">
      <w:pPr>
        <w:spacing w:after="0" w:line="240" w:lineRule="auto"/>
      </w:pPr>
      <w:r>
        <w:separator/>
      </w:r>
    </w:p>
  </w:footnote>
  <w:footnote w:type="continuationSeparator" w:id="0">
    <w:p w14:paraId="43B745DF" w14:textId="77777777" w:rsidR="002A46A4" w:rsidRDefault="002A46A4"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5"/>
  </w:num>
  <w:num w:numId="4">
    <w:abstractNumId w:val="0"/>
  </w:num>
  <w:num w:numId="5">
    <w:abstractNumId w:val="7"/>
  </w:num>
  <w:num w:numId="6">
    <w:abstractNumId w:val="10"/>
  </w:num>
  <w:num w:numId="7">
    <w:abstractNumId w:val="6"/>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F7"/>
    <w:rsid w:val="00021F64"/>
    <w:rsid w:val="00051F3A"/>
    <w:rsid w:val="000970B7"/>
    <w:rsid w:val="000A227E"/>
    <w:rsid w:val="000E1FD8"/>
    <w:rsid w:val="000E34AB"/>
    <w:rsid w:val="000E3E80"/>
    <w:rsid w:val="00133F6B"/>
    <w:rsid w:val="001364A4"/>
    <w:rsid w:val="00136795"/>
    <w:rsid w:val="00140705"/>
    <w:rsid w:val="00141E1D"/>
    <w:rsid w:val="001742DD"/>
    <w:rsid w:val="00176405"/>
    <w:rsid w:val="00184918"/>
    <w:rsid w:val="00185778"/>
    <w:rsid w:val="001A3823"/>
    <w:rsid w:val="001B0CD6"/>
    <w:rsid w:val="001B1CF0"/>
    <w:rsid w:val="001D4171"/>
    <w:rsid w:val="002402FA"/>
    <w:rsid w:val="0026633F"/>
    <w:rsid w:val="002969B9"/>
    <w:rsid w:val="00297BED"/>
    <w:rsid w:val="002A38BD"/>
    <w:rsid w:val="002A46A4"/>
    <w:rsid w:val="002C3BD4"/>
    <w:rsid w:val="002C6F71"/>
    <w:rsid w:val="002D0F68"/>
    <w:rsid w:val="002D2978"/>
    <w:rsid w:val="002E0510"/>
    <w:rsid w:val="00302E66"/>
    <w:rsid w:val="00327109"/>
    <w:rsid w:val="00352CA1"/>
    <w:rsid w:val="00375E02"/>
    <w:rsid w:val="003B5CD2"/>
    <w:rsid w:val="003C0E6F"/>
    <w:rsid w:val="003C32DF"/>
    <w:rsid w:val="00406318"/>
    <w:rsid w:val="0040636F"/>
    <w:rsid w:val="00425A27"/>
    <w:rsid w:val="00430A54"/>
    <w:rsid w:val="00440CA8"/>
    <w:rsid w:val="00467736"/>
    <w:rsid w:val="00486FFD"/>
    <w:rsid w:val="004D22BD"/>
    <w:rsid w:val="00505F0E"/>
    <w:rsid w:val="005111E0"/>
    <w:rsid w:val="0053289D"/>
    <w:rsid w:val="00560638"/>
    <w:rsid w:val="00595A4C"/>
    <w:rsid w:val="005B599A"/>
    <w:rsid w:val="005C054D"/>
    <w:rsid w:val="005C7653"/>
    <w:rsid w:val="006252CA"/>
    <w:rsid w:val="00636D93"/>
    <w:rsid w:val="00642576"/>
    <w:rsid w:val="00672744"/>
    <w:rsid w:val="006B039A"/>
    <w:rsid w:val="006B21CA"/>
    <w:rsid w:val="006B5E8A"/>
    <w:rsid w:val="006F28B6"/>
    <w:rsid w:val="006F7174"/>
    <w:rsid w:val="00731B98"/>
    <w:rsid w:val="0076539F"/>
    <w:rsid w:val="00797051"/>
    <w:rsid w:val="007A34AA"/>
    <w:rsid w:val="007B181E"/>
    <w:rsid w:val="007E0B8F"/>
    <w:rsid w:val="00805F86"/>
    <w:rsid w:val="00853FEB"/>
    <w:rsid w:val="00881BF2"/>
    <w:rsid w:val="00951A52"/>
    <w:rsid w:val="009673EB"/>
    <w:rsid w:val="00967AF7"/>
    <w:rsid w:val="00981E82"/>
    <w:rsid w:val="009B1F93"/>
    <w:rsid w:val="00A54ABC"/>
    <w:rsid w:val="00A708A5"/>
    <w:rsid w:val="00A849B5"/>
    <w:rsid w:val="00AA48B8"/>
    <w:rsid w:val="00AE6034"/>
    <w:rsid w:val="00AF0CC0"/>
    <w:rsid w:val="00B6386D"/>
    <w:rsid w:val="00BC151F"/>
    <w:rsid w:val="00C56542"/>
    <w:rsid w:val="00C62F96"/>
    <w:rsid w:val="00C73468"/>
    <w:rsid w:val="00CF1CA4"/>
    <w:rsid w:val="00D03C61"/>
    <w:rsid w:val="00D10C39"/>
    <w:rsid w:val="00D50E50"/>
    <w:rsid w:val="00D56098"/>
    <w:rsid w:val="00D56937"/>
    <w:rsid w:val="00D710A5"/>
    <w:rsid w:val="00D81B2C"/>
    <w:rsid w:val="00D924BD"/>
    <w:rsid w:val="00D94016"/>
    <w:rsid w:val="00DA48C0"/>
    <w:rsid w:val="00DC20EE"/>
    <w:rsid w:val="00DD2B81"/>
    <w:rsid w:val="00E15E6A"/>
    <w:rsid w:val="00E3634A"/>
    <w:rsid w:val="00E47969"/>
    <w:rsid w:val="00E57AFC"/>
    <w:rsid w:val="00EA034B"/>
    <w:rsid w:val="00EA22DE"/>
    <w:rsid w:val="00EC339C"/>
    <w:rsid w:val="00ED0060"/>
    <w:rsid w:val="00EE2DAE"/>
    <w:rsid w:val="00EF0206"/>
    <w:rsid w:val="00F02F7D"/>
    <w:rsid w:val="00F1029C"/>
    <w:rsid w:val="00F208C6"/>
    <w:rsid w:val="00F227A9"/>
    <w:rsid w:val="00F368B3"/>
    <w:rsid w:val="00F450C8"/>
    <w:rsid w:val="00F74324"/>
    <w:rsid w:val="00F8201B"/>
    <w:rsid w:val="00FC0A77"/>
    <w:rsid w:val="00FD39A3"/>
    <w:rsid w:val="00FD4E4D"/>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8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1766/11540" TargetMode="External"/><Relationship Id="rId13" Type="http://schemas.openxmlformats.org/officeDocument/2006/relationships/hyperlink" Target="https://cgiarmel.atlassian.net/wiki/spaces/MEL/pages/964657158/Policy+contribution" TargetMode="External"/><Relationship Id="rId18" Type="http://schemas.openxmlformats.org/officeDocument/2006/relationships/hyperlink" Target="https://cgiarmel.atlassian.net/wiki/spaces/MEL/pages/689864906/Innovation+Reporting?search_id=c4b67f0b-0d6d-4115-b0f1-65ef6ecb4e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l.cgiar.org/blog/add/policy_case/1" TargetMode="External"/><Relationship Id="rId17" Type="http://schemas.openxmlformats.org/officeDocument/2006/relationships/hyperlink" Target="https://mel.cgiar.org/innovation/addinnovation" TargetMode="External"/><Relationship Id="rId2" Type="http://schemas.openxmlformats.org/officeDocument/2006/relationships/numbering" Target="numbering.xml"/><Relationship Id="rId16" Type="http://schemas.openxmlformats.org/officeDocument/2006/relationships/hyperlink" Target="https://cgiarmel.atlassian.net/wiki/spaces/MEL/pages/17183739/Outcome+Stories+Guidelines?search_id=c4b67f0b-0d6d-4115-b0f1-65ef6ecb4ed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iarmel.atlassian.net/wiki/spaces/MEL/pages/10780674/CRP+Deliverable+Reporting"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mel.cgiar.org/blog/add/outcomestory/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l.cgiar.org/blog/add/outcomestory/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FA32-B97B-4413-90C6-DA3094D7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3702</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Karl Hughes</cp:lastModifiedBy>
  <cp:revision>5</cp:revision>
  <cp:lastPrinted>2017-08-29T17:51:00Z</cp:lastPrinted>
  <dcterms:created xsi:type="dcterms:W3CDTF">2021-01-06T06:57:00Z</dcterms:created>
  <dcterms:modified xsi:type="dcterms:W3CDTF">2021-02-11T10:01:00Z</dcterms:modified>
</cp:coreProperties>
</file>