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925A5" w14:textId="77777777" w:rsidR="006E40C8" w:rsidRDefault="006E40C8" w:rsidP="006E40C8">
      <w:pPr>
        <w:pStyle w:val="Heading1"/>
        <w:jc w:val="both"/>
        <w:rPr>
          <w:b/>
          <w:bCs/>
          <w:color w:val="00B050"/>
          <w:lang w:val="en-GB"/>
        </w:rPr>
      </w:pPr>
      <w:bookmarkStart w:id="0" w:name="_Toc535554991"/>
      <w:r w:rsidRPr="00E5741A">
        <w:rPr>
          <w:b/>
          <w:bCs/>
          <w:color w:val="00B050"/>
          <w:lang w:val="en-GB"/>
        </w:rPr>
        <w:t xml:space="preserve">Annex </w:t>
      </w:r>
      <w:r>
        <w:rPr>
          <w:b/>
          <w:bCs/>
          <w:color w:val="00B050"/>
          <w:lang w:val="en-GB"/>
        </w:rPr>
        <w:t>2</w:t>
      </w:r>
      <w:r w:rsidRPr="00E5741A">
        <w:rPr>
          <w:b/>
          <w:bCs/>
          <w:color w:val="00B050"/>
          <w:lang w:val="en-GB"/>
        </w:rPr>
        <w:t xml:space="preserve"> </w:t>
      </w:r>
      <w:r>
        <w:rPr>
          <w:b/>
          <w:bCs/>
          <w:color w:val="00B050"/>
          <w:lang w:val="en-GB"/>
        </w:rPr>
        <w:t>– Flagship Report Template</w:t>
      </w:r>
      <w:bookmarkEnd w:id="0"/>
    </w:p>
    <w:p w14:paraId="49260CCC" w14:textId="77777777" w:rsidR="006E40C8" w:rsidRDefault="006E40C8" w:rsidP="006E40C8">
      <w:pPr>
        <w:rPr>
          <w:b/>
          <w:bCs/>
          <w:color w:val="00B050"/>
          <w:lang w:val="en-GB"/>
        </w:rPr>
      </w:pPr>
    </w:p>
    <w:p w14:paraId="53C5D07D" w14:textId="3AE05D35"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Flagship annual report - 2018</w:t>
      </w:r>
    </w:p>
    <w:p w14:paraId="66DC3834" w14:textId="5B5A5854"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 xml:space="preserve">Flagship </w:t>
      </w:r>
      <w:r w:rsidR="003435A4">
        <w:rPr>
          <w:rFonts w:asciiTheme="majorHAnsi" w:hAnsiTheme="majorHAnsi" w:cs="Arial"/>
          <w:b/>
          <w:noProof/>
          <w:color w:val="BFBFBF" w:themeColor="background1" w:themeShade="BF"/>
          <w:sz w:val="44"/>
          <w:szCs w:val="50"/>
        </w:rPr>
        <w:t xml:space="preserve">4 – Variety Develoment </w:t>
      </w:r>
    </w:p>
    <w:p w14:paraId="29651934" w14:textId="77777777" w:rsidR="006E40C8" w:rsidRPr="00614496" w:rsidRDefault="006E40C8" w:rsidP="006E40C8">
      <w:pPr>
        <w:rPr>
          <w:color w:val="BFBFBF" w:themeColor="background1" w:themeShade="BF"/>
        </w:rPr>
      </w:pPr>
      <w:r w:rsidRPr="00614496">
        <w:rPr>
          <w:color w:val="BFBFBF" w:themeColor="background1" w:themeShade="BF"/>
        </w:rPr>
        <w:t xml:space="preserve"> </w:t>
      </w:r>
    </w:p>
    <w:p w14:paraId="33FB7851" w14:textId="70E02AD8" w:rsidR="003435A4" w:rsidRDefault="006E40C8" w:rsidP="006E40C8">
      <w:r>
        <w:t>Authors</w:t>
      </w:r>
      <w:r w:rsidR="003435A4">
        <w:t>: Janila Pasupuleti</w:t>
      </w:r>
    </w:p>
    <w:p w14:paraId="4BBF3926" w14:textId="77777777" w:rsidR="006E40C8" w:rsidRPr="00614496" w:rsidRDefault="006E40C8" w:rsidP="006E40C8">
      <w:pPr>
        <w:pStyle w:val="Heading1"/>
        <w:rPr>
          <w:color w:val="BFBFBF" w:themeColor="background1" w:themeShade="BF"/>
          <w:sz w:val="24"/>
        </w:rPr>
      </w:pPr>
      <w:bookmarkStart w:id="1" w:name="_Toc535553050"/>
      <w:bookmarkStart w:id="2" w:name="_Toc535554729"/>
      <w:bookmarkStart w:id="3" w:name="_Toc535554951"/>
      <w:bookmarkStart w:id="4" w:name="_Toc535554992"/>
      <w:r w:rsidRPr="00614496">
        <w:rPr>
          <w:color w:val="BFBFBF" w:themeColor="background1" w:themeShade="BF"/>
          <w:sz w:val="24"/>
        </w:rPr>
        <w:t>Progress by flagship</w:t>
      </w:r>
      <w:bookmarkEnd w:id="1"/>
      <w:bookmarkEnd w:id="2"/>
      <w:bookmarkEnd w:id="3"/>
      <w:bookmarkEnd w:id="4"/>
    </w:p>
    <w:p w14:paraId="0200504F" w14:textId="77777777" w:rsidR="006E40C8" w:rsidRPr="003435A4" w:rsidRDefault="006E40C8" w:rsidP="006E40C8">
      <w:pPr>
        <w:jc w:val="both"/>
        <w:rPr>
          <w:color w:val="00B050"/>
        </w:rPr>
      </w:pPr>
      <w:r w:rsidRPr="003435A4">
        <w:rPr>
          <w:color w:val="00B050"/>
        </w:rPr>
        <w:t>[Please provide brief summary narratives about how each individual CRP Flagship progressed towards the agreed ‘Program outcomes’, introducing Milestones Table to the reader, highlighting (</w:t>
      </w:r>
      <w:proofErr w:type="spellStart"/>
      <w:r w:rsidRPr="003435A4">
        <w:rPr>
          <w:color w:val="00B050"/>
        </w:rPr>
        <w:t>i</w:t>
      </w:r>
      <w:proofErr w:type="spellEnd"/>
      <w:r w:rsidRPr="003435A4">
        <w:rPr>
          <w:color w:val="00B050"/>
        </w:rPr>
        <w:t>) major pieces of work and innovations and (ii) any major course corrections. Where relevant, indicate cross-flagship linkages and how one FP built on or worked with another to get results. (max 800 words).</w:t>
      </w:r>
    </w:p>
    <w:p w14:paraId="6E47E6A1" w14:textId="77777777" w:rsidR="007D4968" w:rsidRDefault="007D4968" w:rsidP="006E40C8">
      <w:pPr>
        <w:jc w:val="both"/>
      </w:pPr>
    </w:p>
    <w:p w14:paraId="12BB0C1D" w14:textId="65B0897F" w:rsidR="007234E4" w:rsidRDefault="007D4968" w:rsidP="006E40C8">
      <w:pPr>
        <w:jc w:val="both"/>
      </w:pPr>
      <w:r>
        <w:t>Based on the lessons learnt, the Flagship 4</w:t>
      </w:r>
      <w:r w:rsidR="007234E4">
        <w:t xml:space="preserve"> </w:t>
      </w:r>
      <w:r>
        <w:t>seeks to e</w:t>
      </w:r>
      <w:r w:rsidR="007234E4">
        <w:t>stablish</w:t>
      </w:r>
      <w:r w:rsidR="00A60E9D">
        <w:t xml:space="preserve"> </w:t>
      </w:r>
      <w:r w:rsidR="007234E4">
        <w:t>multi-locati</w:t>
      </w:r>
      <w:r w:rsidR="00AB1EDA">
        <w:t>o</w:t>
      </w:r>
      <w:r w:rsidR="007234E4">
        <w:t xml:space="preserve">n testing sites, enhance rate of genetic gain in crop breeding and testing pipelines, </w:t>
      </w:r>
      <w:r>
        <w:t>modernize</w:t>
      </w:r>
      <w:r w:rsidR="007234E4">
        <w:t xml:space="preserve"> the CG and NARES crop breeding programs and replicat</w:t>
      </w:r>
      <w:r>
        <w:t xml:space="preserve">e </w:t>
      </w:r>
      <w:r w:rsidR="007234E4">
        <w:t>successful seed systems such as pearl millet in India and cowpea in Nigeria to achieve two Flagship level outcomes viz., new varieties and allied innovations improving productivity and production, agribusiness and stabilize food supply; and robust and responsive global to national breeding systems produce and deliver novel varieties and allied innovations at appropriate scale and scope. Through these outcomes, the Flagship contribute</w:t>
      </w:r>
      <w:r>
        <w:t>s</w:t>
      </w:r>
      <w:r w:rsidR="007234E4">
        <w:t xml:space="preserve"> to</w:t>
      </w:r>
      <w:r>
        <w:t xml:space="preserve"> the two</w:t>
      </w:r>
      <w:r w:rsidR="007234E4">
        <w:t xml:space="preserve"> Program </w:t>
      </w:r>
      <w:r w:rsidR="00A60E9D">
        <w:t xml:space="preserve">level </w:t>
      </w:r>
      <w:r w:rsidR="007234E4">
        <w:t xml:space="preserve">outcomes </w:t>
      </w:r>
      <w:proofErr w:type="spellStart"/>
      <w:r w:rsidRPr="006E5498">
        <w:rPr>
          <w:i/>
        </w:rPr>
        <w:t>viz</w:t>
      </w:r>
      <w:proofErr w:type="spellEnd"/>
      <w:r>
        <w:t xml:space="preserve">, </w:t>
      </w:r>
      <w:r w:rsidR="007234E4">
        <w:t>expanded, resilient, and inclusive production, value chain, trading, and consumption of nutritious g</w:t>
      </w:r>
      <w:r w:rsidR="00A60E9D">
        <w:t xml:space="preserve">rain legumes and dryland cereals in target countries; and improved capacity and inclusivity of </w:t>
      </w:r>
      <w:proofErr w:type="spellStart"/>
      <w:r w:rsidR="00A60E9D">
        <w:t>agri</w:t>
      </w:r>
      <w:proofErr w:type="spellEnd"/>
      <w:r w:rsidR="00A60E9D">
        <w:t xml:space="preserve">-food system stakeholders to collaboratively develop innovations </w:t>
      </w:r>
      <w:r w:rsidR="00AB1EDA">
        <w:t>t</w:t>
      </w:r>
      <w:r w:rsidR="00A60E9D">
        <w:t>hat respond to the needs of the women, men, and youth in GLDC-based livelihoods and value chains.</w:t>
      </w:r>
      <w:r w:rsidR="007234E4">
        <w:t xml:space="preserve"> </w:t>
      </w:r>
    </w:p>
    <w:p w14:paraId="395765E8" w14:textId="77777777" w:rsidR="007234E4" w:rsidRDefault="007234E4" w:rsidP="006E40C8">
      <w:pPr>
        <w:jc w:val="both"/>
      </w:pPr>
    </w:p>
    <w:p w14:paraId="647CAE85" w14:textId="412ED34F" w:rsidR="00A60E9D" w:rsidRDefault="007234E4" w:rsidP="006E40C8">
      <w:pPr>
        <w:jc w:val="both"/>
      </w:pPr>
      <w:r>
        <w:t>The Flagship conducted multi-location testing and national testing to commercialize</w:t>
      </w:r>
      <w:r w:rsidR="005A497F">
        <w:t xml:space="preserve"> </w:t>
      </w:r>
      <w:r w:rsidRPr="008F21B4">
        <w:t xml:space="preserve">73 </w:t>
      </w:r>
      <w:r>
        <w:t>cultivars</w:t>
      </w:r>
      <w:r w:rsidRPr="008F21B4">
        <w:t xml:space="preserve"> of chickpea (11), pigeon pea (3), groundnut (25), cowpea (2), soybean (6),</w:t>
      </w:r>
      <w:r w:rsidRPr="005A497F">
        <w:t xml:space="preserve"> lentil (4), sorghum (6), pearl millets (</w:t>
      </w:r>
      <w:r>
        <w:t xml:space="preserve">10) and finger millets (6) </w:t>
      </w:r>
      <w:r w:rsidR="005A497F">
        <w:t xml:space="preserve">breeding lines </w:t>
      </w:r>
      <w:r>
        <w:t xml:space="preserve">developed </w:t>
      </w:r>
      <w:r w:rsidR="005A497F">
        <w:t>from the Phas</w:t>
      </w:r>
      <w:r w:rsidR="00906CB1">
        <w:t xml:space="preserve">e 1 </w:t>
      </w:r>
      <w:r>
        <w:t xml:space="preserve">of the </w:t>
      </w:r>
      <w:r w:rsidR="00906CB1">
        <w:t xml:space="preserve">CRP in sixteen countries of South Asia and sub-Sahara Africa. </w:t>
      </w:r>
      <w:r>
        <w:t>The commercialization of new cultivars and their adoption</w:t>
      </w:r>
      <w:r w:rsidR="00906CB1">
        <w:t xml:space="preserve"> contributes to e</w:t>
      </w:r>
      <w:r w:rsidR="005A497F">
        <w:t>xpanded, resilient and inclusive production, value addition, trading and consumption of nutritious grain legumes and dryland cereals in the</w:t>
      </w:r>
      <w:r w:rsidR="00906CB1">
        <w:t xml:space="preserve"> target countries</w:t>
      </w:r>
      <w:r w:rsidR="008F21B4">
        <w:t>.</w:t>
      </w:r>
      <w:r w:rsidR="00473066">
        <w:t xml:space="preserve"> </w:t>
      </w:r>
      <w:r w:rsidR="00906CB1">
        <w:t>Flagship 4 has enhanced</w:t>
      </w:r>
      <w:r w:rsidR="008F21B4">
        <w:t xml:space="preserve"> its engagement with private seed sector, including small- and medium- seed companies through Crop Network Groups (CNGs) to deliver seed</w:t>
      </w:r>
      <w:r w:rsidR="00906CB1">
        <w:t>s</w:t>
      </w:r>
      <w:r w:rsidR="008F21B4">
        <w:t xml:space="preserve"> of new varieties to farmers and achieve expanded production of</w:t>
      </w:r>
      <w:r w:rsidR="00A60E9D">
        <w:t xml:space="preserve"> climate resilient and nutritious</w:t>
      </w:r>
      <w:r w:rsidR="008F21B4">
        <w:t xml:space="preserve"> </w:t>
      </w:r>
      <w:r w:rsidR="00A60E9D">
        <w:t>GLDC crops</w:t>
      </w:r>
      <w:r w:rsidR="008F21B4">
        <w:t xml:space="preserve">. </w:t>
      </w:r>
      <w:r w:rsidR="00906CB1">
        <w:t>CNGs, a multi-di</w:t>
      </w:r>
      <w:r>
        <w:t xml:space="preserve">sciplinary engagement of NARS, </w:t>
      </w:r>
      <w:r w:rsidR="00A60E9D">
        <w:t xml:space="preserve">CG, </w:t>
      </w:r>
      <w:r w:rsidR="00906CB1">
        <w:t>NGOs, Advanced Research Institutes (ARIs), Private seed and processing sectors and etc. is a platform for crop product design, development, testing and deliver. The CNG is also a platform that meets the continuous capacity building needs and technical support to enhance the genetic gain and operational efficiencies of crop breeding program</w:t>
      </w:r>
      <w:r w:rsidR="003E3282">
        <w:t>s</w:t>
      </w:r>
      <w:r w:rsidR="00906CB1">
        <w:t xml:space="preserve"> and thus important for modernizing the crop breeding programs of CG and NARS. </w:t>
      </w:r>
      <w:r w:rsidR="00A60E9D">
        <w:t xml:space="preserve">CNGs are a platform to collaboratively develop </w:t>
      </w:r>
      <w:r w:rsidR="00A60E9D">
        <w:lastRenderedPageBreak/>
        <w:t xml:space="preserve">innovations through engagement of </w:t>
      </w:r>
      <w:proofErr w:type="spellStart"/>
      <w:r w:rsidR="00A60E9D">
        <w:t>agri</w:t>
      </w:r>
      <w:proofErr w:type="spellEnd"/>
      <w:r w:rsidR="00A60E9D">
        <w:t>-food system stakeholders of GLDC crop commodities.</w:t>
      </w:r>
    </w:p>
    <w:p w14:paraId="41DD3986" w14:textId="77777777" w:rsidR="00A60E9D" w:rsidRDefault="00A60E9D" w:rsidP="006E40C8">
      <w:pPr>
        <w:jc w:val="both"/>
      </w:pPr>
    </w:p>
    <w:p w14:paraId="30E706D6" w14:textId="5AEEF6CC" w:rsidR="005A497F" w:rsidRDefault="00906CB1" w:rsidP="006E40C8">
      <w:pPr>
        <w:jc w:val="both"/>
      </w:pPr>
      <w:r>
        <w:t xml:space="preserve">To enhance the genetic gain, the crop breeding programs are implementing an efficient nursery management and multi-location testing for making advancement decisions. Pan African Multi-location testing by IITA and Soybean Innovation Lab (SIL), and Sorghum and Groundnut varietal trails in WCA by IAVAO network are </w:t>
      </w:r>
      <w:r w:rsidR="00A710B4">
        <w:t>some examples of the multilocati</w:t>
      </w:r>
      <w:r>
        <w:t>on testing by CNGs.</w:t>
      </w:r>
      <w:r w:rsidR="00534529">
        <w:t xml:space="preserve"> </w:t>
      </w:r>
    </w:p>
    <w:p w14:paraId="6E021982" w14:textId="77777777" w:rsidR="00906CB1" w:rsidRDefault="00906CB1" w:rsidP="006E40C8">
      <w:pPr>
        <w:jc w:val="both"/>
      </w:pPr>
    </w:p>
    <w:p w14:paraId="36FE854F" w14:textId="52259197" w:rsidR="006D678F" w:rsidRPr="007D4968" w:rsidRDefault="00775223" w:rsidP="006E40C8">
      <w:pPr>
        <w:jc w:val="both"/>
      </w:pPr>
      <w:r>
        <w:t>Biofortified cultivars are delivered by Flagship and the biofortification is mainstreamed in some crop breeding program that make a signification contribution</w:t>
      </w:r>
      <w:r w:rsidR="00906CB1">
        <w:t xml:space="preserve"> to </w:t>
      </w:r>
      <w:r>
        <w:t xml:space="preserve">the Program level outcome on increased consumption of nutritious </w:t>
      </w:r>
      <w:r w:rsidR="00534529">
        <w:t>GLDC crops</w:t>
      </w:r>
      <w:r>
        <w:t>. Biofortified cultivars of Sorghum, Pearl millet, Finger millet, and Lentil are commercialized</w:t>
      </w:r>
      <w:r w:rsidR="00534529">
        <w:t xml:space="preserve"> by CRP-GLDC</w:t>
      </w:r>
      <w:r>
        <w:t xml:space="preserve">. </w:t>
      </w:r>
      <w:r w:rsidR="00966AFB" w:rsidRPr="007D4968">
        <w:t>Biofortified varieties in sorghum (Parbhani Shakti in India), lentil (</w:t>
      </w:r>
      <w:proofErr w:type="spellStart"/>
      <w:r w:rsidR="00966AFB" w:rsidRPr="007D4968">
        <w:t>Barimasur</w:t>
      </w:r>
      <w:proofErr w:type="spellEnd"/>
      <w:r w:rsidR="00966AFB" w:rsidRPr="007D4968">
        <w:t xml:space="preserve"> 9 in Bangladesh and </w:t>
      </w:r>
      <w:proofErr w:type="spellStart"/>
      <w:r w:rsidR="00966AFB" w:rsidRPr="007D4968">
        <w:t>Khajuro</w:t>
      </w:r>
      <w:proofErr w:type="spellEnd"/>
      <w:r w:rsidR="00966AFB" w:rsidRPr="007D4968">
        <w:t xml:space="preserve"> </w:t>
      </w:r>
      <w:proofErr w:type="spellStart"/>
      <w:r w:rsidR="00966AFB" w:rsidRPr="007D4968">
        <w:t>Masuro</w:t>
      </w:r>
      <w:proofErr w:type="spellEnd"/>
      <w:r w:rsidR="00966AFB" w:rsidRPr="007D4968">
        <w:t xml:space="preserve"> 4 in Nepal), pearl millet (EUFM 403 in Kenya) were released in 2018.</w:t>
      </w:r>
    </w:p>
    <w:p w14:paraId="7711BE68" w14:textId="77777777" w:rsidR="00966AFB" w:rsidRDefault="00966AFB" w:rsidP="006E40C8">
      <w:pPr>
        <w:jc w:val="both"/>
      </w:pPr>
    </w:p>
    <w:p w14:paraId="7E9E5561" w14:textId="7B5B3E93" w:rsidR="00534529" w:rsidRDefault="00534529" w:rsidP="006E40C8">
      <w:pPr>
        <w:jc w:val="both"/>
      </w:pPr>
      <w:r>
        <w:t>Crop cultivar segmentation to meet specific markets and/or nutrition needs are driving the entrepreneurship among youth and women</w:t>
      </w:r>
      <w:r w:rsidRPr="007D4968">
        <w:t>.  Value addition of biofortified lentils is driving women enterprises in Ethiopia and soybean variety (</w:t>
      </w:r>
      <w:proofErr w:type="spellStart"/>
      <w:r w:rsidR="00A710B4" w:rsidRPr="007D4968">
        <w:t>Favour</w:t>
      </w:r>
      <w:proofErr w:type="spellEnd"/>
      <w:r w:rsidRPr="007D4968">
        <w:t>) with</w:t>
      </w:r>
      <w:r>
        <w:t xml:space="preserve"> high protein content is driving the youth and women enterprises to supply for school feeding programs in Uganda. Similarly machine harvestable chickpea and lentils offer youth enterprise opportunities to use machines. Varieties that meet </w:t>
      </w:r>
      <w:r w:rsidR="00870A80">
        <w:t xml:space="preserve">the needs of </w:t>
      </w:r>
      <w:r>
        <w:t xml:space="preserve">specific processing industry, such as high oleic groundnut varieties, now in national testing in India are preferred by industry for </w:t>
      </w:r>
      <w:r w:rsidR="003B515A">
        <w:t xml:space="preserve">increased </w:t>
      </w:r>
      <w:r>
        <w:t>shelf-life</w:t>
      </w:r>
      <w:r w:rsidR="003B515A">
        <w:t>. These</w:t>
      </w:r>
      <w:r>
        <w:t xml:space="preserve"> benefits will drive new value chains and </w:t>
      </w:r>
      <w:r w:rsidR="003B515A">
        <w:t xml:space="preserve">strengthened </w:t>
      </w:r>
      <w:r>
        <w:t>seed systems to meet the seed needs of these specific cultivars.</w:t>
      </w:r>
    </w:p>
    <w:p w14:paraId="119ED11C" w14:textId="77777777" w:rsidR="00534529" w:rsidRDefault="00534529" w:rsidP="006E40C8">
      <w:pPr>
        <w:jc w:val="both"/>
      </w:pPr>
    </w:p>
    <w:p w14:paraId="5D4D06C8" w14:textId="3E02B927" w:rsidR="006D678F" w:rsidRDefault="006D678F" w:rsidP="006E40C8">
      <w:pPr>
        <w:jc w:val="both"/>
      </w:pPr>
      <w:r>
        <w:t>Improved genetics for climate resilience is a key delivery</w:t>
      </w:r>
      <w:r w:rsidR="00697C11">
        <w:t xml:space="preserve"> for</w:t>
      </w:r>
      <w:r w:rsidR="002333A1">
        <w:t xml:space="preserve"> </w:t>
      </w:r>
      <w:r>
        <w:t>the Flagship that contributes to Program Outcome of expanded and resilient production of grain legumes and dryland cereals. Adaptation to water deficit st</w:t>
      </w:r>
      <w:r w:rsidR="00534529">
        <w:t>ress is most important adaptation trait targeted</w:t>
      </w:r>
      <w:r w:rsidR="00697C11">
        <w:t xml:space="preserve"> for eight</w:t>
      </w:r>
      <w:r>
        <w:t xml:space="preserve"> crop commodities and heat tolerance is critical for expand</w:t>
      </w:r>
      <w:r w:rsidR="00534529">
        <w:t>ing</w:t>
      </w:r>
      <w:r>
        <w:t xml:space="preserve"> production across seasons, </w:t>
      </w:r>
      <w:r w:rsidR="00534529">
        <w:t xml:space="preserve">and emerging areas such as </w:t>
      </w:r>
      <w:r>
        <w:t>off season pearl millet cultivation in WCA and SA that expose</w:t>
      </w:r>
      <w:r w:rsidR="00534529">
        <w:t>s</w:t>
      </w:r>
      <w:r>
        <w:t xml:space="preserve"> the crop to high temperature at flowering. </w:t>
      </w:r>
      <w:r w:rsidR="00534529">
        <w:t xml:space="preserve">Heat tolerance in chickpea and pearl millet breeding pipelines is mainstreamed in SA to deliver to specific target sites, and breeding for low nutrient adaptation is targeted in crops like cowpea and cowpea. Early maturity as an escape mechanism to water deficit stress is targeted in GLDC crop commodities, super-early pigeon pea cultivars and early maturing (60 days) cowpea cultivars are under testing. </w:t>
      </w:r>
      <w:r w:rsidR="008F705B">
        <w:t>Genotypes with high transpiration efficiency (TE) under high vapor pressure deficit (VPD) in sorghum produced drought tolerant sorghum hybrids with high biomass yields.</w:t>
      </w:r>
    </w:p>
    <w:p w14:paraId="4B82CDFF" w14:textId="77777777" w:rsidR="00A710B4" w:rsidRDefault="00A710B4" w:rsidP="006E40C8">
      <w:pPr>
        <w:jc w:val="both"/>
      </w:pPr>
    </w:p>
    <w:p w14:paraId="74257C96" w14:textId="126E4536" w:rsidR="00A710B4" w:rsidRPr="005F22E5" w:rsidRDefault="00A710B4" w:rsidP="006E40C8">
      <w:pPr>
        <w:jc w:val="both"/>
      </w:pPr>
      <w:r>
        <w:t>The Flagship 4 collaborated with Flagship 5 team to deploy diagnostic SNP markers for rust resistance in Soybean, aphid and bacterial blight in cowpea</w:t>
      </w:r>
      <w:r w:rsidR="0076759C">
        <w:t xml:space="preserve">, </w:t>
      </w:r>
      <w:r>
        <w:t xml:space="preserve">one of the </w:t>
      </w:r>
      <w:r w:rsidRPr="0076759C">
        <w:rPr>
          <w:i/>
        </w:rPr>
        <w:t>FAD2B</w:t>
      </w:r>
      <w:r>
        <w:t xml:space="preserve"> mutant allele </w:t>
      </w:r>
      <w:r w:rsidR="0076759C">
        <w:t xml:space="preserve">conferring high oleic trait and two major QTLs conferring resistance to late leaf spot and rust diseases </w:t>
      </w:r>
      <w:r>
        <w:t>in groundnut.</w:t>
      </w:r>
      <w:r w:rsidR="0076759C">
        <w:t xml:space="preserve"> and hybrid purity testing in pigeon pea.</w:t>
      </w:r>
      <w:r>
        <w:t xml:space="preserve"> The</w:t>
      </w:r>
      <w:r w:rsidR="0076759C">
        <w:t xml:space="preserve"> contribution of Soybean </w:t>
      </w:r>
      <w:r>
        <w:t xml:space="preserve">Innovation Lab, University of California </w:t>
      </w:r>
      <w:r w:rsidR="007F2E7B">
        <w:t xml:space="preserve">(for cowpea) </w:t>
      </w:r>
      <w:r>
        <w:t>and</w:t>
      </w:r>
      <w:r w:rsidR="007F2E7B">
        <w:t xml:space="preserve"> Univers</w:t>
      </w:r>
      <w:r>
        <w:t xml:space="preserve">ity of Georgia </w:t>
      </w:r>
      <w:r w:rsidR="007F2E7B">
        <w:t xml:space="preserve">(for </w:t>
      </w:r>
      <w:r w:rsidR="0076759C" w:rsidRPr="0076759C">
        <w:rPr>
          <w:i/>
        </w:rPr>
        <w:t>FAD2B</w:t>
      </w:r>
      <w:r w:rsidR="0076759C">
        <w:rPr>
          <w:i/>
        </w:rPr>
        <w:t xml:space="preserve"> </w:t>
      </w:r>
      <w:r w:rsidR="0076759C" w:rsidRPr="0076759C">
        <w:t>mutant allele in</w:t>
      </w:r>
      <w:r w:rsidR="0076759C">
        <w:t xml:space="preserve"> </w:t>
      </w:r>
      <w:r w:rsidR="007F2E7B">
        <w:t xml:space="preserve">groundnut) </w:t>
      </w:r>
      <w:r>
        <w:t xml:space="preserve">has been </w:t>
      </w:r>
      <w:r w:rsidR="0076759C">
        <w:t>valuable in</w:t>
      </w:r>
      <w:r w:rsidR="007F2E7B">
        <w:t xml:space="preserve"> deploy</w:t>
      </w:r>
      <w:r>
        <w:t xml:space="preserve">ment of diagnostic </w:t>
      </w:r>
      <w:r>
        <w:lastRenderedPageBreak/>
        <w:t xml:space="preserve">markers </w:t>
      </w:r>
      <w:r w:rsidR="007F2E7B">
        <w:t>in these three crops.</w:t>
      </w:r>
      <w:r w:rsidR="0076759C">
        <w:t xml:space="preserve"> Flagship 4 team is collaborating with FP1 and FP2 team for designing crop Product Profiles and the inputs from FP1 team on drivers of adoption will enable the FP4 team to engage with stakeholders to deliver improved genetics of GLDC crops.</w:t>
      </w:r>
      <w:r w:rsidR="00081381" w:rsidRPr="00081381">
        <w:rPr>
          <w:rFonts w:asciiTheme="minorHAnsi" w:hAnsiTheme="minorHAnsi" w:cstheme="minorHAnsi"/>
          <w:b/>
        </w:rPr>
        <w:t xml:space="preserve"> </w:t>
      </w:r>
      <w:r w:rsidR="00081381" w:rsidRPr="007D4968">
        <w:t>Genomic selection model using rad-GBS and y-GBS for use in hybrid pearl millet</w:t>
      </w:r>
      <w:r w:rsidR="00BF3C3D" w:rsidRPr="007D4968">
        <w:t xml:space="preserve"> with FP5 team has been initiated.</w:t>
      </w:r>
    </w:p>
    <w:p w14:paraId="05EFDFBA" w14:textId="77777777" w:rsidR="00775223" w:rsidRDefault="00775223" w:rsidP="006E40C8">
      <w:pPr>
        <w:jc w:val="both"/>
      </w:pPr>
    </w:p>
    <w:p w14:paraId="2F1A9F66" w14:textId="771A49CA" w:rsidR="005209C6" w:rsidRDefault="00534529" w:rsidP="006E40C8">
      <w:pPr>
        <w:jc w:val="both"/>
      </w:pPr>
      <w:r>
        <w:t xml:space="preserve">The Flagship did not </w:t>
      </w:r>
      <w:r w:rsidR="0076759C">
        <w:t>have a major course correction;</w:t>
      </w:r>
      <w:r w:rsidR="00A710B4">
        <w:t xml:space="preserve"> nonetheless the</w:t>
      </w:r>
      <w:r w:rsidR="0076759C">
        <w:t xml:space="preserve"> crop bree</w:t>
      </w:r>
      <w:r w:rsidR="00A710B4">
        <w:t>ding program needed better phenotyping tools for diseases</w:t>
      </w:r>
      <w:r w:rsidR="0021614E">
        <w:t>,</w:t>
      </w:r>
      <w:r w:rsidR="0076759C">
        <w:t xml:space="preserve"> </w:t>
      </w:r>
      <w:r w:rsidR="00A710B4">
        <w:t>quality trait</w:t>
      </w:r>
      <w:r w:rsidR="0076759C">
        <w:t>s and low nutrient efficiency</w:t>
      </w:r>
      <w:r w:rsidR="00A710B4">
        <w:t xml:space="preserve">. </w:t>
      </w:r>
      <w:r>
        <w:t>Hotspot screening for diseases relied by crop breeding programs failed sometimes warranting a precise screening method under field or co</w:t>
      </w:r>
      <w:r w:rsidR="0076759C">
        <w:t>ntrolled conditions at the crop breeding stations</w:t>
      </w:r>
      <w:r>
        <w:t>.</w:t>
      </w:r>
      <w:r w:rsidR="0076759C">
        <w:t xml:space="preserve"> </w:t>
      </w:r>
      <w:r>
        <w:t xml:space="preserve"> </w:t>
      </w:r>
      <w:r w:rsidR="00A710B4">
        <w:t xml:space="preserve">As fodder quality is a key trait in most of </w:t>
      </w:r>
      <w:r w:rsidR="00915A52">
        <w:t>Product Profiles</w:t>
      </w:r>
      <w:r w:rsidR="006E5498">
        <w:t xml:space="preserve"> of GLDC crops</w:t>
      </w:r>
      <w:r w:rsidR="00A710B4">
        <w:t xml:space="preserve">, Flagship 4 team collaborated with </w:t>
      </w:r>
      <w:r w:rsidR="00915A52">
        <w:t>International Livestock Research Institute (</w:t>
      </w:r>
      <w:r w:rsidR="00A710B4">
        <w:t>ILRI</w:t>
      </w:r>
      <w:r w:rsidR="00915A52">
        <w:t>)</w:t>
      </w:r>
      <w:r w:rsidR="00A710B4">
        <w:t xml:space="preserve"> to systematically deploy fodder quality testing in breeding and testing pipelines of sorghum, pearl millet</w:t>
      </w:r>
      <w:r w:rsidR="006E5498">
        <w:t>, finger millet</w:t>
      </w:r>
      <w:r w:rsidR="00A710B4">
        <w:t xml:space="preserve"> and groundnut</w:t>
      </w:r>
      <w:r w:rsidR="0021614E">
        <w:t>. Groundnut breeding program at Mali established NIRS for quality assessment and c</w:t>
      </w:r>
      <w:r w:rsidR="0076759C">
        <w:t xml:space="preserve">owpea program </w:t>
      </w:r>
      <w:r w:rsidR="0021614E">
        <w:t xml:space="preserve">in Nigeria </w:t>
      </w:r>
      <w:r w:rsidR="0076759C">
        <w:t xml:space="preserve">identified a </w:t>
      </w:r>
      <w:r w:rsidR="0021614E">
        <w:t xml:space="preserve">hotspot at NARES site to conduct testing for P-efficiency. </w:t>
      </w:r>
    </w:p>
    <w:p w14:paraId="7EA838D3" w14:textId="77777777" w:rsidR="005209C6" w:rsidRDefault="005209C6" w:rsidP="006E40C8">
      <w:pPr>
        <w:jc w:val="both"/>
      </w:pPr>
    </w:p>
    <w:p w14:paraId="13589294" w14:textId="77777777" w:rsidR="006E40C8" w:rsidRPr="00614496" w:rsidRDefault="006E40C8" w:rsidP="006E40C8">
      <w:pPr>
        <w:pStyle w:val="Heading1"/>
        <w:rPr>
          <w:color w:val="BFBFBF" w:themeColor="background1" w:themeShade="BF"/>
          <w:sz w:val="24"/>
        </w:rPr>
      </w:pPr>
      <w:bookmarkStart w:id="5" w:name="_Toc535553051"/>
      <w:bookmarkStart w:id="6" w:name="_Toc535554730"/>
      <w:bookmarkStart w:id="7" w:name="_Toc535554952"/>
      <w:bookmarkStart w:id="8" w:name="_Toc535554993"/>
      <w:r w:rsidRPr="00614496">
        <w:rPr>
          <w:color w:val="BFBFBF" w:themeColor="background1" w:themeShade="BF"/>
          <w:sz w:val="24"/>
        </w:rPr>
        <w:t>Variance from Planned Program for this year</w:t>
      </w:r>
      <w:bookmarkEnd w:id="5"/>
      <w:bookmarkEnd w:id="6"/>
      <w:bookmarkEnd w:id="7"/>
      <w:bookmarkEnd w:id="8"/>
    </w:p>
    <w:p w14:paraId="47FBF834" w14:textId="77777777" w:rsidR="006E40C8" w:rsidRDefault="006E40C8" w:rsidP="006E40C8">
      <w:pPr>
        <w:jc w:val="both"/>
      </w:pPr>
      <w:r>
        <w:t xml:space="preserve">(a) </w:t>
      </w:r>
      <w:r w:rsidRPr="00AC6D5F">
        <w:rPr>
          <w:color w:val="008000"/>
        </w:rPr>
        <w:t>Have any promising research areas been significantly expanded? If so, for each example, please explain clearly where the demand came from (promising research results, demand from partners etc.). Where has the money for expansion come from? (max. 150 words</w:t>
      </w:r>
      <w:r>
        <w:t>)</w:t>
      </w:r>
    </w:p>
    <w:p w14:paraId="7221ADEA" w14:textId="77777777" w:rsidR="0021614E" w:rsidRDefault="0021614E" w:rsidP="006E40C8">
      <w:pPr>
        <w:jc w:val="both"/>
      </w:pPr>
    </w:p>
    <w:p w14:paraId="14D5379C" w14:textId="586025C5" w:rsidR="0021614E" w:rsidRDefault="0021614E" w:rsidP="006E40C8">
      <w:pPr>
        <w:jc w:val="both"/>
      </w:pPr>
      <w:r>
        <w:t>Biofortification and targeting grain and fodder quality traits to meet market needs have been expanded or mainstreamed in GLDC crop breeding pipelines.</w:t>
      </w:r>
      <w:r w:rsidR="00266929">
        <w:t xml:space="preserve"> Availability of rapid, and non-destructive methods </w:t>
      </w:r>
      <w:r w:rsidR="003D226D">
        <w:t xml:space="preserve">(NIRS, XRF) </w:t>
      </w:r>
      <w:r w:rsidR="00266929">
        <w:t xml:space="preserve">of phenotyping and access has enabled routine phenotyping for nutrition quality traits in most of the crop breeding programs.  </w:t>
      </w:r>
      <w:proofErr w:type="spellStart"/>
      <w:r>
        <w:t>Biofortification</w:t>
      </w:r>
      <w:proofErr w:type="spellEnd"/>
      <w:r>
        <w:t xml:space="preserve"> has been mainstreamed in pearl millet breeding pipeline, and expanded market traits like high oleic trait in groundnut. The investment for biofortification in pearl millet came from Harvest Plus, for sorghum it is from Harvest Plus and Government of India, and for high oleic trait investment came from Government of India and MARS. For market traits, the crop networks can be a platform to </w:t>
      </w:r>
      <w:r w:rsidR="006A7CCD">
        <w:t xml:space="preserve">attract </w:t>
      </w:r>
      <w:r>
        <w:t xml:space="preserve">investment from private sector, particularly </w:t>
      </w:r>
      <w:r w:rsidR="00B764DC">
        <w:t xml:space="preserve">from </w:t>
      </w:r>
      <w:r>
        <w:t>processor</w:t>
      </w:r>
      <w:r w:rsidR="00B764DC">
        <w:t>s</w:t>
      </w:r>
      <w:r>
        <w:t xml:space="preserve"> requiring a specific quality trait in the</w:t>
      </w:r>
      <w:r w:rsidR="00E70712">
        <w:t xml:space="preserve"> commodity. </w:t>
      </w:r>
      <w:r w:rsidR="00B764DC">
        <w:t xml:space="preserve">Quality traits can also drive new value chains such as youth and women </w:t>
      </w:r>
      <w:r w:rsidR="006A7CCD">
        <w:t>entrepreneurs</w:t>
      </w:r>
      <w:r w:rsidR="00B764DC">
        <w:t xml:space="preserve"> for high protein soybean and interest from some start-ups for high oleic groundnut oil. </w:t>
      </w:r>
      <w:r w:rsidR="00697C11">
        <w:t>Improved grain Fe and Zn content is a target for seven of the GLDC crop commodities.</w:t>
      </w:r>
    </w:p>
    <w:p w14:paraId="2FA21BE8" w14:textId="77777777" w:rsidR="00B764DC" w:rsidRDefault="00B764DC" w:rsidP="006E40C8">
      <w:pPr>
        <w:jc w:val="both"/>
      </w:pPr>
    </w:p>
    <w:p w14:paraId="79156B78" w14:textId="6B22C9E5" w:rsidR="00B764DC" w:rsidRDefault="00B764DC" w:rsidP="006E40C8">
      <w:pPr>
        <w:jc w:val="both"/>
      </w:pPr>
      <w:r>
        <w:t xml:space="preserve">Multi-location testing in collaboration with NARES has been expanded for the GLDC crops with support from bilateral projects. Crop Network Groups are expected to attract financial support for testing as they establish themselves as a viable multi-stakeholder platform. </w:t>
      </w:r>
    </w:p>
    <w:p w14:paraId="561593D5" w14:textId="77777777" w:rsidR="0021614E" w:rsidRDefault="0021614E" w:rsidP="006E40C8">
      <w:pPr>
        <w:jc w:val="both"/>
      </w:pPr>
    </w:p>
    <w:p w14:paraId="286DC4D3" w14:textId="77777777" w:rsidR="006E40C8" w:rsidRDefault="006E40C8" w:rsidP="006E40C8">
      <w:pPr>
        <w:jc w:val="both"/>
      </w:pPr>
      <w:r>
        <w:t xml:space="preserve">(b) Have any research lines been dropped or significantly cut back? (Please note that cutting research lines which do not seem to be delivering is seen by Funders and System Organization as a sign of good management, not of failure.) If so, please give specific </w:t>
      </w:r>
      <w:r>
        <w:lastRenderedPageBreak/>
        <w:t>examples and brief reasons. If funding was reallocated to other work, where did the money go? (max. 150 words)</w:t>
      </w:r>
    </w:p>
    <w:p w14:paraId="280E8001" w14:textId="77777777" w:rsidR="00AC6D5F" w:rsidRDefault="00AC6D5F" w:rsidP="006E40C8">
      <w:pPr>
        <w:jc w:val="both"/>
      </w:pPr>
    </w:p>
    <w:p w14:paraId="4F517D94" w14:textId="5C7845F4" w:rsidR="00AC6D5F" w:rsidRDefault="00AC6D5F" w:rsidP="006E40C8">
      <w:pPr>
        <w:jc w:val="both"/>
      </w:pPr>
      <w:r>
        <w:t xml:space="preserve">The Flagship has made investments following the </w:t>
      </w:r>
      <w:r w:rsidR="00697C11">
        <w:t>prioritization, and focus traits for improvem</w:t>
      </w:r>
      <w:r w:rsidR="003D226D">
        <w:t xml:space="preserve">ent of GLDC crops (Table FP4.2). </w:t>
      </w:r>
    </w:p>
    <w:p w14:paraId="320FED47" w14:textId="77777777" w:rsidR="00AC6D5F" w:rsidRDefault="00AC6D5F" w:rsidP="006E40C8">
      <w:pPr>
        <w:jc w:val="both"/>
      </w:pPr>
    </w:p>
    <w:p w14:paraId="162495A4" w14:textId="77777777" w:rsidR="006E40C8" w:rsidRDefault="006E40C8" w:rsidP="006E40C8">
      <w:pPr>
        <w:jc w:val="both"/>
      </w:pPr>
      <w:r>
        <w:t>(c) Have any Flagships or specific research areas changed direction? If so, please describe how, and the reason. (max. 150 words)</w:t>
      </w:r>
    </w:p>
    <w:p w14:paraId="148D76E5" w14:textId="77777777" w:rsidR="006E40C8" w:rsidRDefault="006E40C8" w:rsidP="006E40C8">
      <w:pPr>
        <w:jc w:val="both"/>
      </w:pPr>
    </w:p>
    <w:p w14:paraId="0C817D1E" w14:textId="521BBA8E" w:rsidR="00697C11" w:rsidRDefault="00697C11" w:rsidP="006E40C8">
      <w:pPr>
        <w:jc w:val="both"/>
      </w:pPr>
      <w:r>
        <w:t>The Flags</w:t>
      </w:r>
      <w:r w:rsidR="0035320B">
        <w:t xml:space="preserve">hip has changed its direction </w:t>
      </w:r>
      <w:r w:rsidR="006E5498">
        <w:t xml:space="preserve">by enhancing </w:t>
      </w:r>
      <w:r w:rsidR="0035320B">
        <w:t>its</w:t>
      </w:r>
      <w:r>
        <w:t xml:space="preserve"> engagement with the </w:t>
      </w:r>
      <w:r w:rsidR="0035320B">
        <w:t xml:space="preserve">crop value chain </w:t>
      </w:r>
      <w:r>
        <w:t>stakeholder</w:t>
      </w:r>
      <w:r w:rsidR="0035320B">
        <w:t>s</w:t>
      </w:r>
      <w:r>
        <w:t xml:space="preserve"> of GLDC crops through crop network gro</w:t>
      </w:r>
      <w:r w:rsidR="0035320B">
        <w:t xml:space="preserve">ups (CNGs). The CNG model enables </w:t>
      </w:r>
      <w:r>
        <w:t>a structured and</w:t>
      </w:r>
      <w:r w:rsidR="0035320B">
        <w:t xml:space="preserve"> regular (annual) </w:t>
      </w:r>
      <w:r>
        <w:t>engagement with private seed sector including small- and medium scale seed industries to sustain the seed system innovations.</w:t>
      </w:r>
      <w:r w:rsidR="0035320B">
        <w:t xml:space="preserve"> The CNG is a platform that engages through crop product design, development, testing, advancement and delivery. The</w:t>
      </w:r>
      <w:r>
        <w:t xml:space="preserve"> investment</w:t>
      </w:r>
      <w:r w:rsidR="0035320B">
        <w:t xml:space="preserve"> to support CNG</w:t>
      </w:r>
      <w:r>
        <w:t xml:space="preserve"> came from the Innovation Funds</w:t>
      </w:r>
      <w:r w:rsidR="0035320B">
        <w:t xml:space="preserve"> of CRP-GLDC for Africa and </w:t>
      </w:r>
      <w:r w:rsidR="00CA14C9">
        <w:t xml:space="preserve">wherever </w:t>
      </w:r>
      <w:r>
        <w:t xml:space="preserve">an opportunity exists it </w:t>
      </w:r>
      <w:r w:rsidR="006E5498">
        <w:t>builds</w:t>
      </w:r>
      <w:r>
        <w:t xml:space="preserve"> on existing networks like IAVAO network for multi –crop commodities in WCA, hybrid parent research consortium (HPRC) of sorghum</w:t>
      </w:r>
      <w:r w:rsidR="00CA14C9">
        <w:t>,</w:t>
      </w:r>
      <w:r>
        <w:t xml:space="preserve"> pearl</w:t>
      </w:r>
      <w:r w:rsidR="0035320B">
        <w:t xml:space="preserve"> </w:t>
      </w:r>
      <w:r>
        <w:t xml:space="preserve">millet </w:t>
      </w:r>
      <w:r w:rsidR="00CA14C9">
        <w:t xml:space="preserve">and pigeon pea </w:t>
      </w:r>
      <w:r>
        <w:t xml:space="preserve">in SA, and CNG for groundnut in Asia as part of the OFID project. </w:t>
      </w:r>
    </w:p>
    <w:p w14:paraId="0B92524E" w14:textId="77777777" w:rsidR="0035320B" w:rsidRDefault="0035320B" w:rsidP="006E40C8">
      <w:pPr>
        <w:jc w:val="both"/>
      </w:pPr>
    </w:p>
    <w:p w14:paraId="34EEBCD5" w14:textId="7D6AF6FD" w:rsidR="0035320B" w:rsidRDefault="0035320B" w:rsidP="006E40C8">
      <w:pPr>
        <w:jc w:val="both"/>
      </w:pPr>
      <w:r>
        <w:t>The Flagship plans to further CNGs as they are critical to modernizing the GLDC crop breeding program and seed systems.</w:t>
      </w:r>
    </w:p>
    <w:p w14:paraId="1216D928" w14:textId="77777777" w:rsidR="006E40C8" w:rsidRPr="00614496" w:rsidRDefault="006E40C8" w:rsidP="006E40C8">
      <w:pPr>
        <w:pStyle w:val="Heading1"/>
        <w:rPr>
          <w:color w:val="BFBFBF" w:themeColor="background1" w:themeShade="BF"/>
          <w:sz w:val="24"/>
        </w:rPr>
      </w:pPr>
      <w:bookmarkStart w:id="9" w:name="_Toc535553052"/>
      <w:bookmarkStart w:id="10" w:name="_Toc535554731"/>
      <w:bookmarkStart w:id="11" w:name="_Toc535554953"/>
      <w:bookmarkStart w:id="12" w:name="_Toc535554994"/>
      <w:r w:rsidRPr="00614496">
        <w:rPr>
          <w:color w:val="BFBFBF" w:themeColor="background1" w:themeShade="BF"/>
          <w:sz w:val="24"/>
        </w:rPr>
        <w:t>PARTNESHIPS: ACHIEVEMENT AND CHALLENGES</w:t>
      </w:r>
      <w:bookmarkEnd w:id="9"/>
      <w:bookmarkEnd w:id="10"/>
      <w:bookmarkEnd w:id="11"/>
      <w:bookmarkEnd w:id="12"/>
    </w:p>
    <w:p w14:paraId="11957C38" w14:textId="77777777" w:rsidR="006E40C8" w:rsidRPr="00614496" w:rsidRDefault="006E40C8" w:rsidP="006E40C8">
      <w:pPr>
        <w:pStyle w:val="Heading3"/>
        <w:rPr>
          <w:color w:val="BFBFBF" w:themeColor="background1" w:themeShade="BF"/>
        </w:rPr>
      </w:pPr>
      <w:bookmarkStart w:id="13" w:name="_Toc535553053"/>
      <w:bookmarkStart w:id="14" w:name="_Toc535554732"/>
      <w:bookmarkStart w:id="15" w:name="_Toc535554954"/>
      <w:bookmarkStart w:id="16" w:name="_Toc535554995"/>
      <w:r w:rsidRPr="00614496">
        <w:rPr>
          <w:color w:val="BFBFBF" w:themeColor="background1" w:themeShade="BF"/>
        </w:rPr>
        <w:t>Highlights of External Partnerships</w:t>
      </w:r>
      <w:bookmarkEnd w:id="13"/>
      <w:bookmarkEnd w:id="14"/>
      <w:bookmarkEnd w:id="15"/>
      <w:bookmarkEnd w:id="16"/>
      <w:r w:rsidRPr="00614496">
        <w:rPr>
          <w:color w:val="BFBFBF" w:themeColor="background1" w:themeShade="BF"/>
        </w:rPr>
        <w:t xml:space="preserve"> </w:t>
      </w:r>
    </w:p>
    <w:p w14:paraId="2ECB3C06" w14:textId="77777777" w:rsidR="006E40C8" w:rsidRPr="00266929" w:rsidRDefault="006E40C8" w:rsidP="006E40C8">
      <w:pPr>
        <w:jc w:val="both"/>
        <w:rPr>
          <w:color w:val="00B050"/>
        </w:rPr>
      </w:pPr>
      <w:r w:rsidRPr="00266929">
        <w:rPr>
          <w:color w:val="00B050"/>
        </w:rPr>
        <w:t>[Please summarize any interesting highlights, value added and points to improve/ learning points from this year (e.g. on private sector partnerships), and make reference to partnerships reported at the cluster level] (max. 150 words)</w:t>
      </w:r>
    </w:p>
    <w:p w14:paraId="505E335E" w14:textId="77777777" w:rsidR="00480E1B" w:rsidRDefault="00480E1B" w:rsidP="006E40C8">
      <w:pPr>
        <w:jc w:val="both"/>
      </w:pPr>
    </w:p>
    <w:p w14:paraId="48E58560" w14:textId="68B8A26F" w:rsidR="00480E1B" w:rsidRDefault="00480E1B" w:rsidP="006E40C8">
      <w:pPr>
        <w:jc w:val="both"/>
      </w:pPr>
      <w:r>
        <w:t xml:space="preserve">The partnership with AGRA </w:t>
      </w:r>
      <w:r w:rsidR="006E5498">
        <w:t xml:space="preserve">(Alliance for a Green Revolution in Africa) </w:t>
      </w:r>
      <w:r>
        <w:t xml:space="preserve">and </w:t>
      </w:r>
      <w:r w:rsidR="007D4968">
        <w:t>A</w:t>
      </w:r>
      <w:r w:rsidR="006E5498">
        <w:t>DVANTA</w:t>
      </w:r>
      <w:r>
        <w:t xml:space="preserve"> was important for Crop Network Groups </w:t>
      </w:r>
      <w:bookmarkStart w:id="17" w:name="_GoBack"/>
      <w:bookmarkEnd w:id="17"/>
      <w:r>
        <w:t>in Africa. Syngenta Foundation has been a critical partner in WCA, ESA and SA engaging in testing and delivery of GLDC crops through CNGs.</w:t>
      </w:r>
    </w:p>
    <w:p w14:paraId="404C00A9" w14:textId="77777777" w:rsidR="00480E1B" w:rsidRDefault="00480E1B" w:rsidP="006E40C8">
      <w:pPr>
        <w:jc w:val="both"/>
      </w:pPr>
    </w:p>
    <w:p w14:paraId="3AEC415B" w14:textId="0D208333" w:rsidR="00480E1B" w:rsidRDefault="00480E1B" w:rsidP="006E40C8">
      <w:pPr>
        <w:jc w:val="both"/>
      </w:pPr>
      <w:r>
        <w:t xml:space="preserve">The CNGs have emerged as most critical platform for the engagement with private seed sector, like ADVANTA, Seed </w:t>
      </w:r>
      <w:r w:rsidR="002A4993">
        <w:t xml:space="preserve">Co </w:t>
      </w:r>
      <w:r>
        <w:t>etc</w:t>
      </w:r>
      <w:r w:rsidR="003D226D">
        <w:t>.</w:t>
      </w:r>
      <w:r>
        <w:t xml:space="preserve"> in Africa.</w:t>
      </w:r>
    </w:p>
    <w:p w14:paraId="049E6DCC" w14:textId="77777777" w:rsidR="00480E1B" w:rsidRDefault="00480E1B" w:rsidP="006E40C8">
      <w:pPr>
        <w:jc w:val="both"/>
      </w:pPr>
    </w:p>
    <w:p w14:paraId="76F0F343" w14:textId="59D6549A" w:rsidR="00480E1B" w:rsidRDefault="00480E1B" w:rsidP="006E40C8">
      <w:pPr>
        <w:jc w:val="both"/>
      </w:pPr>
      <w:r>
        <w:t>Part</w:t>
      </w:r>
      <w:r w:rsidR="003970CA">
        <w:t xml:space="preserve">nership with National Research </w:t>
      </w:r>
      <w:r>
        <w:t>Organization of Uganda (NARO-</w:t>
      </w:r>
      <w:proofErr w:type="spellStart"/>
      <w:r>
        <w:t>NaSSARi</w:t>
      </w:r>
      <w:proofErr w:type="spellEnd"/>
      <w:r>
        <w:t xml:space="preserve">), </w:t>
      </w:r>
      <w:proofErr w:type="spellStart"/>
      <w:r>
        <w:t>Makerere</w:t>
      </w:r>
      <w:proofErr w:type="spellEnd"/>
      <w:r>
        <w:t xml:space="preserve"> University, and Center for Behavior Change Communication (CBCC-Kenya) was important to understand gender dynamics in seed systems in Africa.</w:t>
      </w:r>
    </w:p>
    <w:p w14:paraId="0E7876A8" w14:textId="77777777" w:rsidR="003970CA" w:rsidRDefault="003970CA" w:rsidP="006E40C8">
      <w:pPr>
        <w:jc w:val="both"/>
      </w:pPr>
    </w:p>
    <w:p w14:paraId="3E6CD549" w14:textId="5D1B6258" w:rsidR="003970CA" w:rsidRDefault="003970CA" w:rsidP="006E40C8">
      <w:pPr>
        <w:jc w:val="both"/>
      </w:pPr>
      <w:r>
        <w:t xml:space="preserve">Partnerships with national program like </w:t>
      </w:r>
      <w:r w:rsidRPr="00944C95">
        <w:rPr>
          <w:rFonts w:cstheme="minorHAnsi"/>
        </w:rPr>
        <w:t xml:space="preserve">Panjab </w:t>
      </w:r>
      <w:r w:rsidR="00395013">
        <w:rPr>
          <w:rFonts w:cstheme="minorHAnsi"/>
        </w:rPr>
        <w:t xml:space="preserve">Agricultural </w:t>
      </w:r>
      <w:r w:rsidRPr="00944C95">
        <w:rPr>
          <w:rFonts w:cstheme="minorHAnsi"/>
        </w:rPr>
        <w:t>University, India and Agricultural Research Cooperation, Sudan</w:t>
      </w:r>
      <w:r>
        <w:rPr>
          <w:rFonts w:cstheme="minorHAnsi"/>
        </w:rPr>
        <w:t xml:space="preserve"> for lentil heat phenotyping and </w:t>
      </w:r>
      <w:proofErr w:type="spellStart"/>
      <w:r w:rsidRPr="00944C95">
        <w:rPr>
          <w:rFonts w:cstheme="minorHAnsi"/>
        </w:rPr>
        <w:t>Bidhan</w:t>
      </w:r>
      <w:proofErr w:type="spellEnd"/>
      <w:r w:rsidRPr="00944C95">
        <w:rPr>
          <w:rFonts w:cstheme="minorHAnsi"/>
        </w:rPr>
        <w:t xml:space="preserve"> Chandra Krishi </w:t>
      </w:r>
      <w:proofErr w:type="spellStart"/>
      <w:r w:rsidRPr="00944C95">
        <w:rPr>
          <w:rFonts w:cstheme="minorHAnsi"/>
        </w:rPr>
        <w:t>Vishwa</w:t>
      </w:r>
      <w:proofErr w:type="spellEnd"/>
      <w:r w:rsidR="00395013">
        <w:rPr>
          <w:rFonts w:cstheme="minorHAnsi"/>
        </w:rPr>
        <w:t xml:space="preserve"> </w:t>
      </w:r>
      <w:proofErr w:type="spellStart"/>
      <w:r w:rsidR="00395013">
        <w:rPr>
          <w:rFonts w:cstheme="minorHAnsi"/>
        </w:rPr>
        <w:t>V</w:t>
      </w:r>
      <w:r w:rsidRPr="00944C95">
        <w:rPr>
          <w:rFonts w:cstheme="minorHAnsi"/>
        </w:rPr>
        <w:t>idyalaya</w:t>
      </w:r>
      <w:proofErr w:type="spellEnd"/>
      <w:r w:rsidRPr="00944C95">
        <w:rPr>
          <w:rFonts w:cstheme="minorHAnsi"/>
        </w:rPr>
        <w:t>, India</w:t>
      </w:r>
      <w:r>
        <w:rPr>
          <w:rFonts w:cstheme="minorHAnsi"/>
        </w:rPr>
        <w:t xml:space="preserve"> for disease and low nutrient phenotyping in lentil are critical for crop breeding and testing.</w:t>
      </w:r>
    </w:p>
    <w:p w14:paraId="1987888B" w14:textId="77777777" w:rsidR="00480E1B" w:rsidRDefault="00480E1B" w:rsidP="006E40C8">
      <w:pPr>
        <w:jc w:val="both"/>
      </w:pPr>
    </w:p>
    <w:p w14:paraId="45CA7730" w14:textId="77777777" w:rsidR="006E40C8" w:rsidRPr="00614496" w:rsidRDefault="006E40C8" w:rsidP="006E40C8">
      <w:pPr>
        <w:pStyle w:val="Heading3"/>
        <w:rPr>
          <w:color w:val="BFBFBF" w:themeColor="background1" w:themeShade="BF"/>
        </w:rPr>
      </w:pPr>
      <w:r w:rsidRPr="00413F1B">
        <w:rPr>
          <w:color w:val="BFBFBF" w:themeColor="background1" w:themeShade="BF"/>
        </w:rPr>
        <w:lastRenderedPageBreak/>
        <w:t>Cross-CGIAR Partnerships</w:t>
      </w:r>
      <w:r w:rsidRPr="00614496">
        <w:rPr>
          <w:color w:val="BFBFBF" w:themeColor="background1" w:themeShade="BF"/>
        </w:rPr>
        <w:t xml:space="preserve"> </w:t>
      </w:r>
    </w:p>
    <w:p w14:paraId="00D10463" w14:textId="70A8D0CE" w:rsidR="00480E1B" w:rsidRPr="00266929" w:rsidRDefault="006E40C8" w:rsidP="006E40C8">
      <w:pPr>
        <w:jc w:val="both"/>
        <w:rPr>
          <w:color w:val="00B050"/>
        </w:rPr>
      </w:pPr>
      <w:r w:rsidRPr="00266929">
        <w:rPr>
          <w:color w:val="00B050"/>
        </w:rPr>
        <w:t>[Please summarize general points on highlights, value added and points to improve/ learning points from this year and make reference to collaborations reported at the cluster level.] Any points you can include on added value of new structures (e.g. Platforms, CRPs) would be very useful.] (max. 150 words)</w:t>
      </w:r>
    </w:p>
    <w:p w14:paraId="1B2A24F3" w14:textId="77777777" w:rsidR="00480E1B" w:rsidRDefault="00480E1B" w:rsidP="006E40C8">
      <w:pPr>
        <w:jc w:val="both"/>
      </w:pPr>
    </w:p>
    <w:p w14:paraId="14527B45" w14:textId="5EDF023B" w:rsidR="00480E1B" w:rsidRDefault="00480E1B" w:rsidP="00480E1B">
      <w:r>
        <w:t>The Flagship seeks to engage with Excellence in Breeding (</w:t>
      </w:r>
      <w:proofErr w:type="spellStart"/>
      <w:r>
        <w:t>EiB</w:t>
      </w:r>
      <w:proofErr w:type="spellEnd"/>
      <w:r>
        <w:t xml:space="preserve">) platform to drive innovation in designing product profiles, adopting stage-gate system, </w:t>
      </w:r>
      <w:r w:rsidR="00081381">
        <w:t xml:space="preserve">phenotyping and genotyping and as source of knowledge. The High Throughput Genotyping Platform (HTGP) of </w:t>
      </w:r>
      <w:proofErr w:type="spellStart"/>
      <w:r w:rsidR="00081381">
        <w:t>EiB</w:t>
      </w:r>
      <w:proofErr w:type="spellEnd"/>
      <w:r w:rsidR="00081381">
        <w:t xml:space="preserve"> was deployed by the Flagship in crop breeding pipelines</w:t>
      </w:r>
      <w:r w:rsidR="00022D77">
        <w:t>, particularly for early generation testing</w:t>
      </w:r>
      <w:r w:rsidR="00081381">
        <w:t xml:space="preserve">. </w:t>
      </w:r>
    </w:p>
    <w:p w14:paraId="284CE3A9" w14:textId="77777777" w:rsidR="003970CA" w:rsidRDefault="003970CA" w:rsidP="00480E1B"/>
    <w:p w14:paraId="28C681B1" w14:textId="0B3A180E" w:rsidR="003970CA" w:rsidRDefault="003970CA" w:rsidP="00480E1B">
      <w:r>
        <w:t>The Flagship seeks its engagement with Gene bank platform to tap no</w:t>
      </w:r>
      <w:r w:rsidR="00266929">
        <w:t>vel diversity of GLDC crops and</w:t>
      </w:r>
      <w:r>
        <w:t xml:space="preserve"> is involved in evaluation the finger millet accessions for fodder quality traits to identify lines for use as parents in breeding program.</w:t>
      </w:r>
    </w:p>
    <w:p w14:paraId="3509F3A4" w14:textId="77777777" w:rsidR="00081381" w:rsidRDefault="00081381" w:rsidP="00480E1B"/>
    <w:p w14:paraId="78EBAA45" w14:textId="1F249E70" w:rsidR="00081381" w:rsidRDefault="00081381" w:rsidP="00480E1B">
      <w:r>
        <w:t>The Flagship has established a collaboration with ILRI to test the fodder samples from WCA, ESA and SA of three crop commodities.</w:t>
      </w:r>
    </w:p>
    <w:p w14:paraId="67959698" w14:textId="77777777" w:rsidR="003970CA" w:rsidRDefault="003970CA" w:rsidP="00480E1B"/>
    <w:p w14:paraId="70BF2247" w14:textId="333418D1" w:rsidR="003970CA" w:rsidRDefault="003970CA" w:rsidP="00480E1B">
      <w:r>
        <w:t xml:space="preserve">Engaging with </w:t>
      </w:r>
      <w:proofErr w:type="spellStart"/>
      <w:r>
        <w:t>BigData</w:t>
      </w:r>
      <w:proofErr w:type="spellEnd"/>
      <w:r>
        <w:t xml:space="preserve"> platform the Flagship has rolled our Digital Seed Road maps to support the seed systems in Africa. </w:t>
      </w:r>
    </w:p>
    <w:p w14:paraId="73589483" w14:textId="77777777" w:rsidR="00081381" w:rsidRDefault="00081381" w:rsidP="00480E1B"/>
    <w:p w14:paraId="309C2468" w14:textId="77777777" w:rsidR="00081381" w:rsidRDefault="00081381" w:rsidP="00480E1B">
      <w:pPr>
        <w:sectPr w:rsidR="00081381" w:rsidSect="008F4576">
          <w:footerReference w:type="default" r:id="rId9"/>
          <w:pgSz w:w="12240" w:h="15840" w:code="1"/>
          <w:pgMar w:top="1411" w:right="1699" w:bottom="1411" w:left="1699" w:header="720" w:footer="720" w:gutter="0"/>
          <w:cols w:space="720"/>
          <w:titlePg/>
          <w:docGrid w:linePitch="360"/>
        </w:sectPr>
      </w:pPr>
    </w:p>
    <w:p w14:paraId="7B803031" w14:textId="77777777" w:rsidR="006E40C8" w:rsidRDefault="006E40C8" w:rsidP="006E40C8">
      <w:pPr>
        <w:pStyle w:val="Heading1"/>
        <w:rPr>
          <w:color w:val="BFBFBF" w:themeColor="background1" w:themeShade="BF"/>
          <w:sz w:val="24"/>
        </w:rPr>
      </w:pPr>
      <w:bookmarkStart w:id="18" w:name="_Toc535553054"/>
      <w:bookmarkStart w:id="19" w:name="_Toc535554733"/>
      <w:bookmarkStart w:id="20" w:name="_Toc535554955"/>
      <w:bookmarkStart w:id="21" w:name="_Toc535554996"/>
      <w:r w:rsidRPr="002D293F">
        <w:rPr>
          <w:color w:val="BFBFBF" w:themeColor="background1" w:themeShade="BF"/>
          <w:sz w:val="24"/>
        </w:rPr>
        <w:lastRenderedPageBreak/>
        <w:t xml:space="preserve">Table 1: </w:t>
      </w:r>
      <w:r w:rsidRPr="00614496">
        <w:rPr>
          <w:color w:val="BFBFBF" w:themeColor="background1" w:themeShade="BF"/>
          <w:sz w:val="24"/>
        </w:rPr>
        <w:t>MILESTONEs TABLE 2018</w:t>
      </w:r>
      <w:bookmarkEnd w:id="18"/>
      <w:bookmarkEnd w:id="19"/>
      <w:bookmarkEnd w:id="20"/>
      <w:bookmarkEnd w:id="21"/>
    </w:p>
    <w:p w14:paraId="7FC5C754" w14:textId="77777777" w:rsidR="006E40C8" w:rsidRPr="00614496" w:rsidRDefault="006E40C8" w:rsidP="006E40C8">
      <w:r>
        <w:t>Reference to the Milestone table related to this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26"/>
        <w:gridCol w:w="1702"/>
        <w:gridCol w:w="2356"/>
        <w:gridCol w:w="2178"/>
        <w:gridCol w:w="1178"/>
        <w:gridCol w:w="3110"/>
        <w:gridCol w:w="3110"/>
      </w:tblGrid>
      <w:tr w:rsidR="003970CA" w:rsidRPr="00D93BF7" w14:paraId="40341D58" w14:textId="77777777" w:rsidTr="002706C7">
        <w:trPr>
          <w:trHeight w:val="2029"/>
        </w:trPr>
        <w:tc>
          <w:tcPr>
            <w:tcW w:w="186" w:type="pct"/>
            <w:shd w:val="clear" w:color="auto" w:fill="FFFFFF" w:themeFill="background1" w:themeFillTint="33"/>
            <w:tcMar>
              <w:top w:w="100" w:type="dxa"/>
              <w:left w:w="100" w:type="dxa"/>
              <w:bottom w:w="100" w:type="dxa"/>
              <w:right w:w="100" w:type="dxa"/>
            </w:tcMar>
          </w:tcPr>
          <w:p w14:paraId="617CD846" w14:textId="77777777" w:rsidR="006E40C8" w:rsidRPr="002706C7" w:rsidRDefault="006E40C8" w:rsidP="008F4576">
            <w:pPr>
              <w:rPr>
                <w:b/>
                <w:sz w:val="20"/>
                <w:szCs w:val="20"/>
              </w:rPr>
            </w:pPr>
            <w:r w:rsidRPr="002706C7">
              <w:rPr>
                <w:b/>
                <w:sz w:val="20"/>
                <w:szCs w:val="20"/>
              </w:rPr>
              <w:t>FP</w:t>
            </w:r>
          </w:p>
        </w:tc>
        <w:tc>
          <w:tcPr>
            <w:tcW w:w="601" w:type="pct"/>
            <w:shd w:val="clear" w:color="auto" w:fill="FFFFFF" w:themeFill="background1" w:themeFillTint="33"/>
            <w:tcMar>
              <w:top w:w="100" w:type="dxa"/>
              <w:left w:w="100" w:type="dxa"/>
              <w:bottom w:w="100" w:type="dxa"/>
              <w:right w:w="100" w:type="dxa"/>
            </w:tcMar>
          </w:tcPr>
          <w:p w14:paraId="0D81F1E4" w14:textId="77777777" w:rsidR="006E40C8" w:rsidRPr="002706C7" w:rsidRDefault="006E40C8" w:rsidP="008F4576">
            <w:pPr>
              <w:jc w:val="center"/>
              <w:rPr>
                <w:b/>
                <w:sz w:val="20"/>
                <w:szCs w:val="20"/>
              </w:rPr>
            </w:pPr>
            <w:r w:rsidRPr="002706C7">
              <w:rPr>
                <w:b/>
                <w:sz w:val="20"/>
                <w:szCs w:val="20"/>
              </w:rPr>
              <w:t xml:space="preserve">FP outcomes 2022 </w:t>
            </w:r>
          </w:p>
        </w:tc>
        <w:tc>
          <w:tcPr>
            <w:tcW w:w="832" w:type="pct"/>
            <w:shd w:val="clear" w:color="auto" w:fill="FFFFFF" w:themeFill="background1" w:themeFillTint="33"/>
            <w:tcMar>
              <w:top w:w="100" w:type="dxa"/>
              <w:left w:w="100" w:type="dxa"/>
              <w:bottom w:w="100" w:type="dxa"/>
              <w:right w:w="100" w:type="dxa"/>
            </w:tcMar>
          </w:tcPr>
          <w:p w14:paraId="4D295FFD" w14:textId="77777777" w:rsidR="006E40C8" w:rsidRPr="002706C7" w:rsidRDefault="006E40C8" w:rsidP="008F4576">
            <w:pPr>
              <w:rPr>
                <w:b/>
                <w:sz w:val="20"/>
                <w:szCs w:val="20"/>
              </w:rPr>
            </w:pPr>
            <w:r w:rsidRPr="002706C7">
              <w:rPr>
                <w:b/>
                <w:sz w:val="20"/>
                <w:szCs w:val="20"/>
              </w:rPr>
              <w:t xml:space="preserve">Summary narrative on progress against each FP outcome this year.  </w:t>
            </w:r>
          </w:p>
        </w:tc>
        <w:tc>
          <w:tcPr>
            <w:tcW w:w="769" w:type="pct"/>
            <w:shd w:val="clear" w:color="auto" w:fill="FFFFFF" w:themeFill="background1" w:themeFillTint="33"/>
            <w:tcMar>
              <w:top w:w="100" w:type="dxa"/>
              <w:left w:w="100" w:type="dxa"/>
              <w:bottom w:w="100" w:type="dxa"/>
              <w:right w:w="100" w:type="dxa"/>
            </w:tcMar>
          </w:tcPr>
          <w:p w14:paraId="47545489" w14:textId="77777777" w:rsidR="006E40C8" w:rsidRPr="002706C7" w:rsidRDefault="006E40C8" w:rsidP="008F4576">
            <w:pPr>
              <w:jc w:val="center"/>
              <w:rPr>
                <w:b/>
                <w:sz w:val="20"/>
                <w:szCs w:val="20"/>
              </w:rPr>
            </w:pPr>
            <w:r w:rsidRPr="002706C7">
              <w:rPr>
                <w:b/>
                <w:sz w:val="20"/>
                <w:szCs w:val="20"/>
              </w:rPr>
              <w:t>Milestone</w:t>
            </w:r>
          </w:p>
        </w:tc>
        <w:tc>
          <w:tcPr>
            <w:tcW w:w="416" w:type="pct"/>
            <w:shd w:val="clear" w:color="auto" w:fill="FFFFFF" w:themeFill="background1" w:themeFillTint="33"/>
            <w:tcMar>
              <w:top w:w="100" w:type="dxa"/>
              <w:left w:w="100" w:type="dxa"/>
              <w:bottom w:w="100" w:type="dxa"/>
              <w:right w:w="100" w:type="dxa"/>
            </w:tcMar>
          </w:tcPr>
          <w:p w14:paraId="093BEDA1" w14:textId="77777777" w:rsidR="006E40C8" w:rsidRPr="00D93BF7" w:rsidRDefault="006E40C8" w:rsidP="008F4576">
            <w:pPr>
              <w:rPr>
                <w:b/>
                <w:sz w:val="20"/>
                <w:szCs w:val="20"/>
              </w:rPr>
            </w:pPr>
            <w:r w:rsidRPr="00D93BF7">
              <w:rPr>
                <w:b/>
                <w:sz w:val="20"/>
                <w:szCs w:val="20"/>
              </w:rPr>
              <w:t>2018 milestones status (complete, extended, cancelled or changed)</w:t>
            </w:r>
          </w:p>
        </w:tc>
        <w:tc>
          <w:tcPr>
            <w:tcW w:w="1098" w:type="pct"/>
            <w:shd w:val="clear" w:color="auto" w:fill="FFFFFF" w:themeFill="background1" w:themeFillTint="33"/>
          </w:tcPr>
          <w:p w14:paraId="5B17F581" w14:textId="77777777" w:rsidR="006E40C8" w:rsidRPr="00D93BF7" w:rsidRDefault="006E40C8" w:rsidP="008F4576">
            <w:pPr>
              <w:rPr>
                <w:b/>
                <w:sz w:val="20"/>
                <w:szCs w:val="20"/>
              </w:rPr>
            </w:pPr>
            <w:r w:rsidRPr="00D93BF7">
              <w:rPr>
                <w:b/>
                <w:sz w:val="20"/>
                <w:szCs w:val="20"/>
              </w:rPr>
              <w:t>Main reason for changes in status (if not complete)</w:t>
            </w:r>
          </w:p>
        </w:tc>
        <w:tc>
          <w:tcPr>
            <w:tcW w:w="1098" w:type="pct"/>
            <w:shd w:val="clear" w:color="auto" w:fill="FFFFFF" w:themeFill="background1" w:themeFillTint="33"/>
            <w:tcMar>
              <w:top w:w="100" w:type="dxa"/>
              <w:left w:w="100" w:type="dxa"/>
              <w:bottom w:w="100" w:type="dxa"/>
              <w:right w:w="100" w:type="dxa"/>
            </w:tcMar>
          </w:tcPr>
          <w:p w14:paraId="413242A9" w14:textId="77777777" w:rsidR="006E40C8" w:rsidRPr="00D93BF7" w:rsidRDefault="006E40C8" w:rsidP="008F4576">
            <w:pPr>
              <w:rPr>
                <w:b/>
                <w:sz w:val="20"/>
                <w:szCs w:val="20"/>
              </w:rPr>
            </w:pPr>
            <w:r w:rsidRPr="00D93BF7">
              <w:rPr>
                <w:b/>
                <w:sz w:val="20"/>
                <w:szCs w:val="20"/>
              </w:rPr>
              <w:t xml:space="preserve">Provide evidence for completed milestones (refer back to means of verification, and link to evidence wherever possible) or explanation for extended, cancelled or changed. </w:t>
            </w:r>
          </w:p>
        </w:tc>
      </w:tr>
      <w:tr w:rsidR="002706C7" w:rsidRPr="00D93BF7" w14:paraId="3629DCF0" w14:textId="77777777" w:rsidTr="002706C7">
        <w:trPr>
          <w:trHeight w:val="1080"/>
        </w:trPr>
        <w:tc>
          <w:tcPr>
            <w:tcW w:w="186" w:type="pct"/>
            <w:shd w:val="clear" w:color="auto" w:fill="auto"/>
            <w:tcMar>
              <w:top w:w="100" w:type="dxa"/>
              <w:left w:w="100" w:type="dxa"/>
              <w:bottom w:w="100" w:type="dxa"/>
              <w:right w:w="100" w:type="dxa"/>
            </w:tcMar>
          </w:tcPr>
          <w:p w14:paraId="2A568B8B" w14:textId="382C4FE8" w:rsidR="006E40C8" w:rsidRPr="002706C7" w:rsidRDefault="002706C7" w:rsidP="008F4576">
            <w:pPr>
              <w:rPr>
                <w:sz w:val="20"/>
                <w:szCs w:val="20"/>
              </w:rPr>
            </w:pPr>
            <w:r w:rsidRPr="002706C7">
              <w:rPr>
                <w:sz w:val="20"/>
                <w:szCs w:val="20"/>
              </w:rPr>
              <w:t>4</w:t>
            </w:r>
          </w:p>
        </w:tc>
        <w:tc>
          <w:tcPr>
            <w:tcW w:w="601" w:type="pct"/>
            <w:shd w:val="clear" w:color="auto" w:fill="auto"/>
            <w:tcMar>
              <w:top w:w="100" w:type="dxa"/>
              <w:left w:w="100" w:type="dxa"/>
              <w:bottom w:w="100" w:type="dxa"/>
              <w:right w:w="100" w:type="dxa"/>
            </w:tcMar>
          </w:tcPr>
          <w:p w14:paraId="55340D6A" w14:textId="2AFB009E" w:rsidR="006E40C8" w:rsidRPr="002706C7" w:rsidRDefault="002706C7" w:rsidP="008F4576">
            <w:pPr>
              <w:ind w:right="100"/>
              <w:jc w:val="center"/>
              <w:rPr>
                <w:sz w:val="20"/>
                <w:szCs w:val="20"/>
              </w:rPr>
            </w:pPr>
            <w:r w:rsidRPr="002706C7">
              <w:rPr>
                <w:sz w:val="20"/>
                <w:szCs w:val="20"/>
              </w:rPr>
              <w:t>FP4.O1. New varieties &amp; allied innovations improving productivity &amp; production potential, agribusiness opportunity &amp; stabilize food supply.</w:t>
            </w:r>
          </w:p>
        </w:tc>
        <w:tc>
          <w:tcPr>
            <w:tcW w:w="832" w:type="pct"/>
            <w:shd w:val="clear" w:color="auto" w:fill="auto"/>
            <w:tcMar>
              <w:top w:w="100" w:type="dxa"/>
              <w:left w:w="100" w:type="dxa"/>
              <w:bottom w:w="100" w:type="dxa"/>
              <w:right w:w="100" w:type="dxa"/>
            </w:tcMar>
          </w:tcPr>
          <w:p w14:paraId="66B85008" w14:textId="77777777" w:rsidR="006E40C8" w:rsidRDefault="003970CA" w:rsidP="003970CA">
            <w:pPr>
              <w:ind w:right="100"/>
              <w:rPr>
                <w:rFonts w:asciiTheme="minorHAnsi" w:hAnsiTheme="minorHAnsi" w:cstheme="minorHAnsi"/>
                <w:sz w:val="20"/>
                <w:szCs w:val="20"/>
              </w:rPr>
            </w:pPr>
            <w:r w:rsidRPr="003970CA">
              <w:rPr>
                <w:rFonts w:asciiTheme="minorHAnsi" w:hAnsiTheme="minorHAnsi" w:cstheme="minorHAnsi"/>
                <w:sz w:val="20"/>
                <w:szCs w:val="20"/>
              </w:rPr>
              <w:t>Developed of breeding material for improved quality traits and for tolerance to heat, drought, water-logging and shot duration in target crop</w:t>
            </w:r>
            <w:r>
              <w:rPr>
                <w:rFonts w:asciiTheme="minorHAnsi" w:hAnsiTheme="minorHAnsi" w:cstheme="minorHAnsi"/>
                <w:sz w:val="20"/>
                <w:szCs w:val="20"/>
              </w:rPr>
              <w:t xml:space="preserve"> and shared with the NARES.</w:t>
            </w:r>
          </w:p>
          <w:p w14:paraId="48F38502" w14:textId="0AC94713" w:rsidR="003970CA" w:rsidRPr="003970CA" w:rsidRDefault="003970CA" w:rsidP="003970CA">
            <w:pPr>
              <w:ind w:right="100"/>
              <w:rPr>
                <w:sz w:val="20"/>
                <w:szCs w:val="20"/>
                <w:highlight w:val="white"/>
              </w:rPr>
            </w:pPr>
          </w:p>
        </w:tc>
        <w:tc>
          <w:tcPr>
            <w:tcW w:w="769" w:type="pct"/>
            <w:shd w:val="clear" w:color="auto" w:fill="auto"/>
            <w:tcMar>
              <w:top w:w="100" w:type="dxa"/>
              <w:left w:w="100" w:type="dxa"/>
              <w:bottom w:w="100" w:type="dxa"/>
              <w:right w:w="100" w:type="dxa"/>
            </w:tcMar>
          </w:tcPr>
          <w:p w14:paraId="41426DFA" w14:textId="5332719C" w:rsidR="006E40C8" w:rsidRPr="002706C7" w:rsidRDefault="00081381" w:rsidP="003970CA">
            <w:pPr>
              <w:ind w:right="100"/>
              <w:rPr>
                <w:sz w:val="20"/>
                <w:szCs w:val="20"/>
              </w:rPr>
            </w:pPr>
            <w:r w:rsidRPr="002706C7">
              <w:rPr>
                <w:sz w:val="20"/>
                <w:szCs w:val="20"/>
              </w:rPr>
              <w:t xml:space="preserve">1. </w:t>
            </w:r>
            <w:r w:rsidR="002706C7" w:rsidRPr="002706C7">
              <w:rPr>
                <w:sz w:val="20"/>
                <w:szCs w:val="20"/>
              </w:rPr>
              <w:t>Breeding lines from Phase I of the CRP being tested by NARS and CGIAR - 8 crops X 3 trait clusters X 2 regions advanced</w:t>
            </w:r>
          </w:p>
        </w:tc>
        <w:tc>
          <w:tcPr>
            <w:tcW w:w="416" w:type="pct"/>
            <w:shd w:val="clear" w:color="auto" w:fill="auto"/>
            <w:tcMar>
              <w:top w:w="100" w:type="dxa"/>
              <w:left w:w="100" w:type="dxa"/>
              <w:bottom w:w="100" w:type="dxa"/>
              <w:right w:w="100" w:type="dxa"/>
            </w:tcMar>
          </w:tcPr>
          <w:p w14:paraId="2C81D7E7" w14:textId="6CC0B725" w:rsidR="006E40C8" w:rsidRPr="00D93BF7" w:rsidRDefault="002706C7" w:rsidP="008F4576">
            <w:pPr>
              <w:jc w:val="center"/>
              <w:rPr>
                <w:sz w:val="20"/>
                <w:szCs w:val="20"/>
              </w:rPr>
            </w:pPr>
            <w:r>
              <w:rPr>
                <w:sz w:val="20"/>
                <w:szCs w:val="20"/>
              </w:rPr>
              <w:t xml:space="preserve">Continuing </w:t>
            </w:r>
          </w:p>
        </w:tc>
        <w:tc>
          <w:tcPr>
            <w:tcW w:w="1098" w:type="pct"/>
          </w:tcPr>
          <w:p w14:paraId="30F34538" w14:textId="008EBECD" w:rsidR="006E40C8" w:rsidRPr="00D93BF7" w:rsidRDefault="006E40C8" w:rsidP="002706C7">
            <w:pPr>
              <w:rPr>
                <w:sz w:val="20"/>
                <w:szCs w:val="20"/>
              </w:rPr>
            </w:pPr>
          </w:p>
          <w:p w14:paraId="7FB3485C" w14:textId="68CB540A" w:rsidR="006E40C8" w:rsidRPr="00D93BF7" w:rsidRDefault="006E40C8" w:rsidP="008F4576">
            <w:pPr>
              <w:jc w:val="center"/>
              <w:rPr>
                <w:sz w:val="20"/>
                <w:szCs w:val="20"/>
              </w:rPr>
            </w:pPr>
            <w:r w:rsidRPr="00D93BF7">
              <w:rPr>
                <w:sz w:val="20"/>
                <w:szCs w:val="20"/>
              </w:rPr>
              <w:t xml:space="preserve">7. Other, please state: </w:t>
            </w:r>
            <w:r w:rsidR="002706C7">
              <w:rPr>
                <w:sz w:val="20"/>
                <w:szCs w:val="20"/>
              </w:rPr>
              <w:t>Testing of the breeding lines by NARS and CGIAR is a continuous process.</w:t>
            </w:r>
          </w:p>
        </w:tc>
        <w:tc>
          <w:tcPr>
            <w:tcW w:w="1098" w:type="pct"/>
            <w:shd w:val="clear" w:color="auto" w:fill="auto"/>
            <w:tcMar>
              <w:top w:w="100" w:type="dxa"/>
              <w:left w:w="100" w:type="dxa"/>
              <w:bottom w:w="100" w:type="dxa"/>
              <w:right w:w="100" w:type="dxa"/>
            </w:tcMar>
          </w:tcPr>
          <w:p w14:paraId="471CC7CD" w14:textId="747E3BBF" w:rsidR="006E40C8" w:rsidRPr="00D93BF7" w:rsidRDefault="006E40C8" w:rsidP="008F4576">
            <w:pPr>
              <w:jc w:val="center"/>
              <w:rPr>
                <w:sz w:val="20"/>
                <w:szCs w:val="20"/>
              </w:rPr>
            </w:pPr>
          </w:p>
        </w:tc>
      </w:tr>
      <w:tr w:rsidR="002706C7" w:rsidRPr="00D93BF7" w14:paraId="5ED720A6" w14:textId="77777777" w:rsidTr="002706C7">
        <w:trPr>
          <w:trHeight w:val="1080"/>
        </w:trPr>
        <w:tc>
          <w:tcPr>
            <w:tcW w:w="186" w:type="pct"/>
            <w:shd w:val="clear" w:color="auto" w:fill="auto"/>
            <w:tcMar>
              <w:top w:w="100" w:type="dxa"/>
              <w:left w:w="100" w:type="dxa"/>
              <w:bottom w:w="100" w:type="dxa"/>
              <w:right w:w="100" w:type="dxa"/>
            </w:tcMar>
          </w:tcPr>
          <w:p w14:paraId="4C1FD6E0" w14:textId="47E34295" w:rsidR="002706C7" w:rsidRPr="002706C7" w:rsidRDefault="002706C7" w:rsidP="008F4576">
            <w:pPr>
              <w:rPr>
                <w:sz w:val="20"/>
                <w:szCs w:val="20"/>
              </w:rPr>
            </w:pPr>
            <w:r>
              <w:rPr>
                <w:sz w:val="20"/>
                <w:szCs w:val="20"/>
              </w:rPr>
              <w:t>4</w:t>
            </w:r>
          </w:p>
        </w:tc>
        <w:tc>
          <w:tcPr>
            <w:tcW w:w="601" w:type="pct"/>
            <w:shd w:val="clear" w:color="auto" w:fill="auto"/>
            <w:tcMar>
              <w:top w:w="100" w:type="dxa"/>
              <w:left w:w="100" w:type="dxa"/>
              <w:bottom w:w="100" w:type="dxa"/>
              <w:right w:w="100" w:type="dxa"/>
            </w:tcMar>
          </w:tcPr>
          <w:p w14:paraId="7C832A42" w14:textId="57F2820B" w:rsidR="002706C7" w:rsidRPr="002706C7" w:rsidRDefault="002706C7" w:rsidP="008F4576">
            <w:pPr>
              <w:ind w:right="100"/>
              <w:jc w:val="center"/>
              <w:rPr>
                <w:sz w:val="20"/>
                <w:szCs w:val="20"/>
              </w:rPr>
            </w:pPr>
            <w:r w:rsidRPr="002706C7">
              <w:rPr>
                <w:sz w:val="20"/>
                <w:szCs w:val="20"/>
              </w:rPr>
              <w:t>FP4.O1. New varieties &amp; allied innovations improving productivity &amp; production potential, agribusiness opportunity &amp; stabilize food supply.</w:t>
            </w:r>
          </w:p>
        </w:tc>
        <w:tc>
          <w:tcPr>
            <w:tcW w:w="832" w:type="pct"/>
            <w:shd w:val="clear" w:color="auto" w:fill="auto"/>
            <w:tcMar>
              <w:top w:w="100" w:type="dxa"/>
              <w:left w:w="100" w:type="dxa"/>
              <w:bottom w:w="100" w:type="dxa"/>
              <w:right w:w="100" w:type="dxa"/>
            </w:tcMar>
          </w:tcPr>
          <w:p w14:paraId="4EF932D7" w14:textId="272B12F4" w:rsidR="002706C7" w:rsidRPr="002706C7" w:rsidRDefault="003970CA" w:rsidP="003970CA">
            <w:pPr>
              <w:ind w:right="100"/>
              <w:rPr>
                <w:sz w:val="20"/>
                <w:szCs w:val="20"/>
                <w:highlight w:val="white"/>
              </w:rPr>
            </w:pPr>
            <w:r>
              <w:rPr>
                <w:sz w:val="20"/>
                <w:szCs w:val="20"/>
                <w:highlight w:val="white"/>
              </w:rPr>
              <w:t xml:space="preserve">The </w:t>
            </w:r>
            <w:r w:rsidRPr="003970CA">
              <w:rPr>
                <w:sz w:val="20"/>
                <w:szCs w:val="20"/>
                <w:highlight w:val="white"/>
              </w:rPr>
              <w:t xml:space="preserve">elite lines and donors for target traits (Table 4.2) are used as parents in crop hybridization. </w:t>
            </w:r>
            <w:r>
              <w:rPr>
                <w:rFonts w:asciiTheme="minorHAnsi" w:hAnsiTheme="minorHAnsi" w:cstheme="minorHAnsi"/>
                <w:bCs/>
                <w:iCs/>
                <w:sz w:val="20"/>
                <w:szCs w:val="20"/>
              </w:rPr>
              <w:t>Heat tolerant</w:t>
            </w:r>
            <w:r w:rsidRPr="003970CA">
              <w:rPr>
                <w:rFonts w:asciiTheme="minorHAnsi" w:hAnsiTheme="minorHAnsi" w:cstheme="minorHAnsi"/>
                <w:bCs/>
                <w:iCs/>
                <w:sz w:val="20"/>
                <w:szCs w:val="20"/>
              </w:rPr>
              <w:t xml:space="preserve"> </w:t>
            </w:r>
            <w:r>
              <w:rPr>
                <w:rFonts w:asciiTheme="minorHAnsi" w:hAnsiTheme="minorHAnsi" w:cstheme="minorHAnsi"/>
                <w:bCs/>
                <w:iCs/>
                <w:sz w:val="20"/>
                <w:szCs w:val="20"/>
              </w:rPr>
              <w:t>donor</w:t>
            </w:r>
            <w:r w:rsidR="00723212">
              <w:rPr>
                <w:rFonts w:asciiTheme="minorHAnsi" w:hAnsiTheme="minorHAnsi" w:cstheme="minorHAnsi"/>
                <w:bCs/>
                <w:iCs/>
                <w:sz w:val="20"/>
                <w:szCs w:val="20"/>
              </w:rPr>
              <w:t>s</w:t>
            </w:r>
            <w:r>
              <w:rPr>
                <w:rFonts w:asciiTheme="minorHAnsi" w:hAnsiTheme="minorHAnsi" w:cstheme="minorHAnsi"/>
                <w:bCs/>
                <w:iCs/>
                <w:sz w:val="20"/>
                <w:szCs w:val="20"/>
              </w:rPr>
              <w:t xml:space="preserve"> o</w:t>
            </w:r>
            <w:r w:rsidRPr="003970CA">
              <w:rPr>
                <w:rFonts w:asciiTheme="minorHAnsi" w:hAnsiTheme="minorHAnsi" w:cstheme="minorHAnsi"/>
                <w:bCs/>
                <w:iCs/>
                <w:sz w:val="20"/>
                <w:szCs w:val="20"/>
              </w:rPr>
              <w:t>f chickpea, lentil, pigeon</w:t>
            </w:r>
            <w:r w:rsidR="00723212">
              <w:rPr>
                <w:rFonts w:asciiTheme="minorHAnsi" w:hAnsiTheme="minorHAnsi" w:cstheme="minorHAnsi"/>
                <w:bCs/>
                <w:iCs/>
                <w:sz w:val="20"/>
                <w:szCs w:val="20"/>
              </w:rPr>
              <w:t xml:space="preserve"> </w:t>
            </w:r>
            <w:r w:rsidRPr="003970CA">
              <w:rPr>
                <w:rFonts w:asciiTheme="minorHAnsi" w:hAnsiTheme="minorHAnsi" w:cstheme="minorHAnsi"/>
                <w:bCs/>
                <w:iCs/>
                <w:sz w:val="20"/>
                <w:szCs w:val="20"/>
              </w:rPr>
              <w:t>pea, groundnut, cowpea, sorghum, and pearl millet</w:t>
            </w:r>
            <w:r>
              <w:rPr>
                <w:rFonts w:asciiTheme="minorHAnsi" w:hAnsiTheme="minorHAnsi" w:cstheme="minorHAnsi"/>
                <w:bCs/>
                <w:iCs/>
                <w:sz w:val="20"/>
                <w:szCs w:val="20"/>
              </w:rPr>
              <w:t xml:space="preserve"> are used in breeding. High Fe and Zn donors are used </w:t>
            </w:r>
            <w:r w:rsidR="00723212">
              <w:rPr>
                <w:rFonts w:asciiTheme="minorHAnsi" w:hAnsiTheme="minorHAnsi" w:cstheme="minorHAnsi"/>
                <w:bCs/>
                <w:iCs/>
                <w:sz w:val="20"/>
                <w:szCs w:val="20"/>
              </w:rPr>
              <w:t xml:space="preserve">as </w:t>
            </w:r>
            <w:r>
              <w:rPr>
                <w:rFonts w:asciiTheme="minorHAnsi" w:hAnsiTheme="minorHAnsi" w:cstheme="minorHAnsi"/>
                <w:bCs/>
                <w:iCs/>
                <w:sz w:val="20"/>
                <w:szCs w:val="20"/>
              </w:rPr>
              <w:lastRenderedPageBreak/>
              <w:t>parents in seven GLDC crops.</w:t>
            </w:r>
          </w:p>
        </w:tc>
        <w:tc>
          <w:tcPr>
            <w:tcW w:w="769" w:type="pct"/>
            <w:shd w:val="clear" w:color="auto" w:fill="auto"/>
            <w:tcMar>
              <w:top w:w="100" w:type="dxa"/>
              <w:left w:w="100" w:type="dxa"/>
              <w:bottom w:w="100" w:type="dxa"/>
              <w:right w:w="100" w:type="dxa"/>
            </w:tcMar>
          </w:tcPr>
          <w:p w14:paraId="49204E87" w14:textId="6F19BE92" w:rsidR="002706C7" w:rsidRPr="002706C7" w:rsidRDefault="002706C7" w:rsidP="002706C7">
            <w:pPr>
              <w:ind w:right="100"/>
              <w:rPr>
                <w:sz w:val="20"/>
                <w:szCs w:val="20"/>
              </w:rPr>
            </w:pPr>
            <w:r>
              <w:rPr>
                <w:sz w:val="20"/>
                <w:szCs w:val="20"/>
              </w:rPr>
              <w:lastRenderedPageBreak/>
              <w:t xml:space="preserve">2. </w:t>
            </w:r>
            <w:r w:rsidRPr="002706C7">
              <w:rPr>
                <w:sz w:val="20"/>
                <w:szCs w:val="20"/>
              </w:rPr>
              <w:t>Phase I genetic materials deployed in GLDC crop improvement by CGIAR centers - annually 8 crops X 3 trait clusters X 2 regions tested by NARS.</w:t>
            </w:r>
          </w:p>
        </w:tc>
        <w:tc>
          <w:tcPr>
            <w:tcW w:w="416" w:type="pct"/>
            <w:shd w:val="clear" w:color="auto" w:fill="auto"/>
            <w:tcMar>
              <w:top w:w="100" w:type="dxa"/>
              <w:left w:w="100" w:type="dxa"/>
              <w:bottom w:w="100" w:type="dxa"/>
              <w:right w:w="100" w:type="dxa"/>
            </w:tcMar>
          </w:tcPr>
          <w:p w14:paraId="77716483" w14:textId="53FE6F85" w:rsidR="002706C7" w:rsidRDefault="002706C7" w:rsidP="008F4576">
            <w:pPr>
              <w:jc w:val="center"/>
              <w:rPr>
                <w:sz w:val="20"/>
                <w:szCs w:val="20"/>
              </w:rPr>
            </w:pPr>
            <w:r>
              <w:rPr>
                <w:sz w:val="20"/>
                <w:szCs w:val="20"/>
              </w:rPr>
              <w:t>Continuing</w:t>
            </w:r>
          </w:p>
        </w:tc>
        <w:tc>
          <w:tcPr>
            <w:tcW w:w="1098" w:type="pct"/>
          </w:tcPr>
          <w:p w14:paraId="5429DCC4" w14:textId="1E1373C5" w:rsidR="002706C7" w:rsidRPr="00D93BF7" w:rsidRDefault="002706C7" w:rsidP="002706C7">
            <w:pPr>
              <w:jc w:val="center"/>
              <w:rPr>
                <w:sz w:val="20"/>
                <w:szCs w:val="20"/>
              </w:rPr>
            </w:pPr>
            <w:r w:rsidRPr="00D93BF7">
              <w:rPr>
                <w:sz w:val="20"/>
                <w:szCs w:val="20"/>
              </w:rPr>
              <w:t xml:space="preserve">7. Other, please state: </w:t>
            </w:r>
            <w:r>
              <w:rPr>
                <w:sz w:val="20"/>
                <w:szCs w:val="20"/>
              </w:rPr>
              <w:t>Testing of the breeding lines by NARS and CGIAR is a continuous process</w:t>
            </w:r>
          </w:p>
        </w:tc>
        <w:tc>
          <w:tcPr>
            <w:tcW w:w="1098" w:type="pct"/>
            <w:shd w:val="clear" w:color="auto" w:fill="auto"/>
            <w:tcMar>
              <w:top w:w="100" w:type="dxa"/>
              <w:left w:w="100" w:type="dxa"/>
              <w:bottom w:w="100" w:type="dxa"/>
              <w:right w:w="100" w:type="dxa"/>
            </w:tcMar>
          </w:tcPr>
          <w:p w14:paraId="650729B0" w14:textId="77777777" w:rsidR="002706C7" w:rsidRPr="00D93BF7" w:rsidRDefault="002706C7" w:rsidP="008F4576">
            <w:pPr>
              <w:jc w:val="center"/>
              <w:rPr>
                <w:sz w:val="20"/>
                <w:szCs w:val="20"/>
              </w:rPr>
            </w:pPr>
          </w:p>
        </w:tc>
      </w:tr>
      <w:tr w:rsidR="002706C7" w:rsidRPr="00D93BF7" w14:paraId="6C1AE250" w14:textId="77777777" w:rsidTr="002706C7">
        <w:trPr>
          <w:trHeight w:val="1080"/>
        </w:trPr>
        <w:tc>
          <w:tcPr>
            <w:tcW w:w="186" w:type="pct"/>
            <w:shd w:val="clear" w:color="auto" w:fill="auto"/>
            <w:tcMar>
              <w:top w:w="100" w:type="dxa"/>
              <w:left w:w="100" w:type="dxa"/>
              <w:bottom w:w="100" w:type="dxa"/>
              <w:right w:w="100" w:type="dxa"/>
            </w:tcMar>
          </w:tcPr>
          <w:p w14:paraId="535AFE56" w14:textId="2F506E84" w:rsidR="002706C7" w:rsidRPr="002706C7" w:rsidRDefault="002706C7" w:rsidP="008F4576">
            <w:pPr>
              <w:rPr>
                <w:sz w:val="20"/>
                <w:szCs w:val="20"/>
              </w:rPr>
            </w:pPr>
            <w:r>
              <w:rPr>
                <w:sz w:val="20"/>
                <w:szCs w:val="20"/>
              </w:rPr>
              <w:lastRenderedPageBreak/>
              <w:t>4</w:t>
            </w:r>
          </w:p>
        </w:tc>
        <w:tc>
          <w:tcPr>
            <w:tcW w:w="601" w:type="pct"/>
            <w:shd w:val="clear" w:color="auto" w:fill="auto"/>
            <w:tcMar>
              <w:top w:w="100" w:type="dxa"/>
              <w:left w:w="100" w:type="dxa"/>
              <w:bottom w:w="100" w:type="dxa"/>
              <w:right w:w="100" w:type="dxa"/>
            </w:tcMar>
          </w:tcPr>
          <w:p w14:paraId="64DBFC09" w14:textId="44E4B3F7" w:rsidR="002706C7" w:rsidRPr="002706C7" w:rsidRDefault="002706C7" w:rsidP="008F4576">
            <w:pPr>
              <w:ind w:right="100"/>
              <w:jc w:val="center"/>
              <w:rPr>
                <w:sz w:val="20"/>
                <w:szCs w:val="20"/>
              </w:rPr>
            </w:pPr>
            <w:r w:rsidRPr="002706C7">
              <w:rPr>
                <w:sz w:val="20"/>
                <w:szCs w:val="20"/>
              </w:rPr>
              <w:t>FP4.O1. New varieties &amp; allied innovations improving productivity &amp; production potential, agribusiness opportunity &amp; stabilize food supply.</w:t>
            </w:r>
          </w:p>
        </w:tc>
        <w:tc>
          <w:tcPr>
            <w:tcW w:w="832" w:type="pct"/>
            <w:shd w:val="clear" w:color="auto" w:fill="auto"/>
            <w:tcMar>
              <w:top w:w="100" w:type="dxa"/>
              <w:left w:w="100" w:type="dxa"/>
              <w:bottom w:w="100" w:type="dxa"/>
              <w:right w:w="100" w:type="dxa"/>
            </w:tcMar>
          </w:tcPr>
          <w:p w14:paraId="6660DA75" w14:textId="33560209" w:rsidR="002706C7" w:rsidRPr="001969A3" w:rsidRDefault="003970CA" w:rsidP="0043343C">
            <w:pPr>
              <w:ind w:right="100"/>
              <w:rPr>
                <w:rFonts w:asciiTheme="minorHAnsi" w:hAnsiTheme="minorHAnsi"/>
                <w:sz w:val="20"/>
                <w:szCs w:val="20"/>
                <w:highlight w:val="white"/>
              </w:rPr>
            </w:pPr>
            <w:r w:rsidRPr="001969A3">
              <w:rPr>
                <w:rFonts w:asciiTheme="minorHAnsi" w:hAnsiTheme="minorHAnsi"/>
                <w:sz w:val="20"/>
                <w:szCs w:val="20"/>
              </w:rPr>
              <w:t>NARES and CG partnership commercialized 73 cultivars of chickpea (11), pigeon pea (3), groundnut (25), cowpea (2), soybean (6), lentil (4), sorghum (6), pearl millets (10) and finger millets (6) breeding lines developed from the Phase 1 of the CRP in sixteen countries of South Asia and sub-Sahara Africa</w:t>
            </w:r>
          </w:p>
        </w:tc>
        <w:tc>
          <w:tcPr>
            <w:tcW w:w="769" w:type="pct"/>
            <w:shd w:val="clear" w:color="auto" w:fill="auto"/>
            <w:tcMar>
              <w:top w:w="100" w:type="dxa"/>
              <w:left w:w="100" w:type="dxa"/>
              <w:bottom w:w="100" w:type="dxa"/>
              <w:right w:w="100" w:type="dxa"/>
            </w:tcMar>
          </w:tcPr>
          <w:p w14:paraId="2CA997A4" w14:textId="10F68159" w:rsidR="002706C7" w:rsidRPr="002706C7" w:rsidRDefault="002706C7" w:rsidP="002706C7">
            <w:pPr>
              <w:ind w:right="100"/>
              <w:rPr>
                <w:sz w:val="20"/>
                <w:szCs w:val="20"/>
              </w:rPr>
            </w:pPr>
            <w:r w:rsidRPr="002706C7">
              <w:rPr>
                <w:sz w:val="20"/>
                <w:szCs w:val="20"/>
              </w:rPr>
              <w:t>3. Breeding lines from Phase I enter the National performance trials (NPT) or release - 8 crops X 3 trait clusters-3-4 lines per trait X 2 regions entered in NPT.</w:t>
            </w:r>
          </w:p>
        </w:tc>
        <w:tc>
          <w:tcPr>
            <w:tcW w:w="416" w:type="pct"/>
            <w:shd w:val="clear" w:color="auto" w:fill="auto"/>
            <w:tcMar>
              <w:top w:w="100" w:type="dxa"/>
              <w:left w:w="100" w:type="dxa"/>
              <w:bottom w:w="100" w:type="dxa"/>
              <w:right w:w="100" w:type="dxa"/>
            </w:tcMar>
          </w:tcPr>
          <w:p w14:paraId="012B3FF4" w14:textId="73453262" w:rsidR="002706C7" w:rsidRPr="002706C7" w:rsidRDefault="002706C7" w:rsidP="008F4576">
            <w:pPr>
              <w:jc w:val="center"/>
              <w:rPr>
                <w:sz w:val="20"/>
                <w:szCs w:val="20"/>
              </w:rPr>
            </w:pPr>
            <w:r>
              <w:rPr>
                <w:sz w:val="20"/>
                <w:szCs w:val="20"/>
              </w:rPr>
              <w:t>Continuing</w:t>
            </w:r>
          </w:p>
        </w:tc>
        <w:tc>
          <w:tcPr>
            <w:tcW w:w="1098" w:type="pct"/>
          </w:tcPr>
          <w:p w14:paraId="73413127" w14:textId="348D0CC7" w:rsidR="002706C7" w:rsidRPr="002706C7" w:rsidRDefault="002706C7" w:rsidP="002706C7">
            <w:pPr>
              <w:rPr>
                <w:sz w:val="20"/>
                <w:szCs w:val="20"/>
              </w:rPr>
            </w:pPr>
            <w:r w:rsidRPr="00D93BF7">
              <w:rPr>
                <w:sz w:val="20"/>
                <w:szCs w:val="20"/>
              </w:rPr>
              <w:t xml:space="preserve">7. Other, please state: </w:t>
            </w:r>
            <w:r>
              <w:rPr>
                <w:sz w:val="20"/>
                <w:szCs w:val="20"/>
              </w:rPr>
              <w:t>Testing of the breeding lines by NARS and CGIAR is a continuous process</w:t>
            </w:r>
          </w:p>
        </w:tc>
        <w:tc>
          <w:tcPr>
            <w:tcW w:w="1098" w:type="pct"/>
            <w:shd w:val="clear" w:color="auto" w:fill="auto"/>
            <w:tcMar>
              <w:top w:w="100" w:type="dxa"/>
              <w:left w:w="100" w:type="dxa"/>
              <w:bottom w:w="100" w:type="dxa"/>
              <w:right w:w="100" w:type="dxa"/>
            </w:tcMar>
          </w:tcPr>
          <w:p w14:paraId="2707AA3E" w14:textId="77777777" w:rsidR="002706C7" w:rsidRPr="00D93BF7" w:rsidRDefault="002706C7" w:rsidP="008F4576">
            <w:pPr>
              <w:jc w:val="center"/>
              <w:rPr>
                <w:sz w:val="20"/>
                <w:szCs w:val="20"/>
              </w:rPr>
            </w:pPr>
          </w:p>
        </w:tc>
      </w:tr>
      <w:tr w:rsidR="002706C7" w:rsidRPr="00D93BF7" w14:paraId="4A60314A" w14:textId="77777777" w:rsidTr="002706C7">
        <w:trPr>
          <w:trHeight w:val="1080"/>
        </w:trPr>
        <w:tc>
          <w:tcPr>
            <w:tcW w:w="186" w:type="pct"/>
            <w:shd w:val="clear" w:color="auto" w:fill="auto"/>
            <w:tcMar>
              <w:top w:w="100" w:type="dxa"/>
              <w:left w:w="100" w:type="dxa"/>
              <w:bottom w:w="100" w:type="dxa"/>
              <w:right w:w="100" w:type="dxa"/>
            </w:tcMar>
          </w:tcPr>
          <w:p w14:paraId="6633E987" w14:textId="7714AC0F" w:rsidR="002706C7" w:rsidRDefault="002706C7" w:rsidP="008F4576">
            <w:pPr>
              <w:rPr>
                <w:sz w:val="20"/>
                <w:szCs w:val="20"/>
              </w:rPr>
            </w:pPr>
            <w:r>
              <w:rPr>
                <w:sz w:val="20"/>
                <w:szCs w:val="20"/>
              </w:rPr>
              <w:t>4</w:t>
            </w:r>
          </w:p>
        </w:tc>
        <w:tc>
          <w:tcPr>
            <w:tcW w:w="601" w:type="pct"/>
            <w:shd w:val="clear" w:color="auto" w:fill="auto"/>
            <w:tcMar>
              <w:top w:w="100" w:type="dxa"/>
              <w:left w:w="100" w:type="dxa"/>
              <w:bottom w:w="100" w:type="dxa"/>
              <w:right w:w="100" w:type="dxa"/>
            </w:tcMar>
          </w:tcPr>
          <w:p w14:paraId="7092DE12" w14:textId="674FAFB5" w:rsidR="002706C7" w:rsidRPr="002706C7" w:rsidRDefault="002706C7" w:rsidP="008F4576">
            <w:pPr>
              <w:ind w:right="100"/>
              <w:jc w:val="center"/>
              <w:rPr>
                <w:sz w:val="20"/>
                <w:szCs w:val="20"/>
              </w:rPr>
            </w:pPr>
            <w:r w:rsidRPr="002706C7">
              <w:rPr>
                <w:sz w:val="20"/>
                <w:szCs w:val="20"/>
              </w:rPr>
              <w:t>FP4.O1. New varieties &amp; allied innovations improving productivity &amp; production potential, agribusiness opportunity &amp; stabilize food supply.</w:t>
            </w:r>
          </w:p>
        </w:tc>
        <w:tc>
          <w:tcPr>
            <w:tcW w:w="832" w:type="pct"/>
            <w:shd w:val="clear" w:color="auto" w:fill="auto"/>
            <w:tcMar>
              <w:top w:w="100" w:type="dxa"/>
              <w:left w:w="100" w:type="dxa"/>
              <w:bottom w:w="100" w:type="dxa"/>
              <w:right w:w="100" w:type="dxa"/>
            </w:tcMar>
          </w:tcPr>
          <w:p w14:paraId="4D5E464F" w14:textId="0598EA31" w:rsidR="002706C7" w:rsidRPr="001969A3" w:rsidRDefault="001969A3" w:rsidP="005962A6">
            <w:pPr>
              <w:ind w:right="100"/>
              <w:rPr>
                <w:rFonts w:asciiTheme="minorHAnsi" w:hAnsiTheme="minorHAnsi"/>
                <w:sz w:val="20"/>
                <w:szCs w:val="20"/>
                <w:highlight w:val="white"/>
              </w:rPr>
            </w:pPr>
            <w:r w:rsidRPr="001969A3">
              <w:rPr>
                <w:rFonts w:asciiTheme="minorHAnsi" w:hAnsiTheme="minorHAnsi" w:cstheme="majorHAnsi"/>
                <w:sz w:val="20"/>
                <w:szCs w:val="20"/>
              </w:rPr>
              <w:t xml:space="preserve">International training course on Breeding approaches for enhancing genetic gains in Grain Legumes and Dryland Cereals for the NARS partners of ESA, WCA, SA working in nine GLDC crops. The training course topics were tailored based on needs/gaps in knowledge/information to manage an efficient </w:t>
            </w:r>
            <w:r w:rsidRPr="001969A3">
              <w:rPr>
                <w:rFonts w:asciiTheme="minorHAnsi" w:hAnsiTheme="minorHAnsi" w:cstheme="majorHAnsi"/>
                <w:sz w:val="20"/>
                <w:szCs w:val="20"/>
              </w:rPr>
              <w:lastRenderedPageBreak/>
              <w:t xml:space="preserve">crop breeding and testing pipeline and achieving accelerated genetic gains </w:t>
            </w:r>
            <w:r w:rsidR="005962A6">
              <w:rPr>
                <w:rFonts w:asciiTheme="minorHAnsi" w:hAnsiTheme="minorHAnsi" w:cstheme="majorHAnsi"/>
                <w:sz w:val="20"/>
                <w:szCs w:val="20"/>
              </w:rPr>
              <w:t>per</w:t>
            </w:r>
            <w:r w:rsidR="005962A6" w:rsidRPr="001969A3">
              <w:rPr>
                <w:rFonts w:asciiTheme="minorHAnsi" w:hAnsiTheme="minorHAnsi" w:cstheme="majorHAnsi"/>
                <w:sz w:val="20"/>
                <w:szCs w:val="20"/>
              </w:rPr>
              <w:t xml:space="preserve"> </w:t>
            </w:r>
            <w:r w:rsidRPr="001969A3">
              <w:rPr>
                <w:rFonts w:asciiTheme="minorHAnsi" w:hAnsiTheme="minorHAnsi" w:cstheme="majorHAnsi"/>
                <w:sz w:val="20"/>
                <w:szCs w:val="20"/>
              </w:rPr>
              <w:t>unit cost. The uniqueness of this training program was that we had leveraged key capacities of the Indian Agricultural Research Institute (IARI) of Indian Council of Agricultural Research on two important aspects of breeding pipelines, viz., (</w:t>
            </w:r>
            <w:r>
              <w:rPr>
                <w:rFonts w:asciiTheme="minorHAnsi" w:hAnsiTheme="minorHAnsi" w:cstheme="majorHAnsi"/>
                <w:sz w:val="20"/>
                <w:szCs w:val="20"/>
              </w:rPr>
              <w:t xml:space="preserve">a) high throughput phenotyping </w:t>
            </w:r>
            <w:r w:rsidRPr="001969A3">
              <w:rPr>
                <w:rFonts w:asciiTheme="minorHAnsi" w:hAnsiTheme="minorHAnsi" w:cstheme="majorHAnsi"/>
                <w:sz w:val="20"/>
                <w:szCs w:val="20"/>
              </w:rPr>
              <w:t>and (b) experience in deploying molecular markers to successfully commercialize 12 Basmati rice varieties.</w:t>
            </w:r>
          </w:p>
        </w:tc>
        <w:tc>
          <w:tcPr>
            <w:tcW w:w="769" w:type="pct"/>
            <w:shd w:val="clear" w:color="auto" w:fill="auto"/>
            <w:tcMar>
              <w:top w:w="100" w:type="dxa"/>
              <w:left w:w="100" w:type="dxa"/>
              <w:bottom w:w="100" w:type="dxa"/>
              <w:right w:w="100" w:type="dxa"/>
            </w:tcMar>
          </w:tcPr>
          <w:p w14:paraId="34BC2296" w14:textId="1B4966A0" w:rsidR="002706C7" w:rsidRPr="002706C7" w:rsidRDefault="002706C7" w:rsidP="002706C7">
            <w:pPr>
              <w:ind w:right="100"/>
              <w:rPr>
                <w:sz w:val="20"/>
                <w:szCs w:val="20"/>
              </w:rPr>
            </w:pPr>
            <w:r>
              <w:rPr>
                <w:sz w:val="20"/>
                <w:szCs w:val="20"/>
              </w:rPr>
              <w:lastRenderedPageBreak/>
              <w:t xml:space="preserve">4. </w:t>
            </w:r>
            <w:r w:rsidRPr="002706C7">
              <w:rPr>
                <w:sz w:val="20"/>
                <w:szCs w:val="20"/>
              </w:rPr>
              <w:t>Nursery management strengthened to support early generation seed availability for evaluations - 9 crops X 2 priority trait clusters (1° &amp; 2°)- 20 lines per trait X 2 regions supplied</w:t>
            </w:r>
          </w:p>
        </w:tc>
        <w:tc>
          <w:tcPr>
            <w:tcW w:w="416" w:type="pct"/>
            <w:shd w:val="clear" w:color="auto" w:fill="auto"/>
            <w:tcMar>
              <w:top w:w="100" w:type="dxa"/>
              <w:left w:w="100" w:type="dxa"/>
              <w:bottom w:w="100" w:type="dxa"/>
              <w:right w:w="100" w:type="dxa"/>
            </w:tcMar>
          </w:tcPr>
          <w:p w14:paraId="30879ED3" w14:textId="3182AC3E" w:rsidR="002706C7" w:rsidRDefault="002706C7" w:rsidP="008F4576">
            <w:pPr>
              <w:jc w:val="center"/>
              <w:rPr>
                <w:sz w:val="20"/>
                <w:szCs w:val="20"/>
              </w:rPr>
            </w:pPr>
            <w:r>
              <w:rPr>
                <w:sz w:val="20"/>
                <w:szCs w:val="20"/>
              </w:rPr>
              <w:t>Continuing</w:t>
            </w:r>
          </w:p>
        </w:tc>
        <w:tc>
          <w:tcPr>
            <w:tcW w:w="1098" w:type="pct"/>
          </w:tcPr>
          <w:p w14:paraId="5DE4BF52" w14:textId="77F63369" w:rsidR="002706C7" w:rsidRPr="00D93BF7" w:rsidRDefault="002706C7" w:rsidP="002706C7">
            <w:pPr>
              <w:rPr>
                <w:sz w:val="20"/>
                <w:szCs w:val="20"/>
              </w:rPr>
            </w:pPr>
            <w:r w:rsidRPr="00D93BF7">
              <w:rPr>
                <w:sz w:val="20"/>
                <w:szCs w:val="20"/>
              </w:rPr>
              <w:t xml:space="preserve">7. Other, please state: </w:t>
            </w:r>
            <w:r>
              <w:rPr>
                <w:sz w:val="20"/>
                <w:szCs w:val="20"/>
              </w:rPr>
              <w:t>Testing of the breeding lines by NARS and CGIAR is a continuous process</w:t>
            </w:r>
          </w:p>
        </w:tc>
        <w:tc>
          <w:tcPr>
            <w:tcW w:w="1098" w:type="pct"/>
            <w:shd w:val="clear" w:color="auto" w:fill="auto"/>
            <w:tcMar>
              <w:top w:w="100" w:type="dxa"/>
              <w:left w:w="100" w:type="dxa"/>
              <w:bottom w:w="100" w:type="dxa"/>
              <w:right w:w="100" w:type="dxa"/>
            </w:tcMar>
          </w:tcPr>
          <w:p w14:paraId="2B8C8F3F" w14:textId="77777777" w:rsidR="002706C7" w:rsidRPr="00D93BF7" w:rsidRDefault="002706C7" w:rsidP="008F4576">
            <w:pPr>
              <w:jc w:val="center"/>
              <w:rPr>
                <w:sz w:val="20"/>
                <w:szCs w:val="20"/>
              </w:rPr>
            </w:pPr>
          </w:p>
        </w:tc>
      </w:tr>
      <w:tr w:rsidR="002706C7" w:rsidRPr="00D93BF7" w14:paraId="3456BB79" w14:textId="77777777" w:rsidTr="002706C7">
        <w:trPr>
          <w:trHeight w:val="1080"/>
        </w:trPr>
        <w:tc>
          <w:tcPr>
            <w:tcW w:w="186" w:type="pct"/>
            <w:shd w:val="clear" w:color="auto" w:fill="auto"/>
            <w:tcMar>
              <w:top w:w="100" w:type="dxa"/>
              <w:left w:w="100" w:type="dxa"/>
              <w:bottom w:w="100" w:type="dxa"/>
              <w:right w:w="100" w:type="dxa"/>
            </w:tcMar>
          </w:tcPr>
          <w:p w14:paraId="3A0774B4" w14:textId="47A89459" w:rsidR="002706C7" w:rsidRDefault="002706C7" w:rsidP="008F4576">
            <w:pPr>
              <w:rPr>
                <w:sz w:val="20"/>
                <w:szCs w:val="20"/>
              </w:rPr>
            </w:pPr>
            <w:r>
              <w:rPr>
                <w:sz w:val="20"/>
                <w:szCs w:val="20"/>
              </w:rPr>
              <w:lastRenderedPageBreak/>
              <w:t>4</w:t>
            </w:r>
          </w:p>
        </w:tc>
        <w:tc>
          <w:tcPr>
            <w:tcW w:w="601" w:type="pct"/>
            <w:shd w:val="clear" w:color="auto" w:fill="auto"/>
            <w:tcMar>
              <w:top w:w="100" w:type="dxa"/>
              <w:left w:w="100" w:type="dxa"/>
              <w:bottom w:w="100" w:type="dxa"/>
              <w:right w:w="100" w:type="dxa"/>
            </w:tcMar>
          </w:tcPr>
          <w:p w14:paraId="4B14FE46" w14:textId="2BFA9811" w:rsidR="002706C7" w:rsidRPr="002706C7" w:rsidRDefault="002706C7" w:rsidP="001969A3">
            <w:pPr>
              <w:ind w:right="100"/>
              <w:rPr>
                <w:sz w:val="20"/>
                <w:szCs w:val="20"/>
              </w:rPr>
            </w:pPr>
            <w:r w:rsidRPr="002706C7">
              <w:rPr>
                <w:sz w:val="20"/>
                <w:szCs w:val="20"/>
              </w:rPr>
              <w:t>FP4.O2. Robust and responsive global to national breeding systems produce and deliver novel varieties and allied innovations at appropriate scale and scope</w:t>
            </w:r>
          </w:p>
        </w:tc>
        <w:tc>
          <w:tcPr>
            <w:tcW w:w="832" w:type="pct"/>
            <w:shd w:val="clear" w:color="auto" w:fill="auto"/>
            <w:tcMar>
              <w:top w:w="100" w:type="dxa"/>
              <w:left w:w="100" w:type="dxa"/>
              <w:bottom w:w="100" w:type="dxa"/>
              <w:right w:w="100" w:type="dxa"/>
            </w:tcMar>
          </w:tcPr>
          <w:p w14:paraId="7F6B97F2" w14:textId="565D01E3" w:rsidR="002706C7" w:rsidRPr="002706C7" w:rsidRDefault="001969A3" w:rsidP="001969A3">
            <w:pPr>
              <w:ind w:right="100"/>
              <w:rPr>
                <w:sz w:val="20"/>
                <w:szCs w:val="20"/>
                <w:highlight w:val="white"/>
              </w:rPr>
            </w:pPr>
            <w:r>
              <w:rPr>
                <w:sz w:val="20"/>
                <w:szCs w:val="20"/>
                <w:highlight w:val="white"/>
              </w:rPr>
              <w:t>Seed value chain studies in Uganda showed potential for lateral and vertical growth for GLDC crops and the seed systems of GLDC crops contribute to country’s economy, and improved household income, food, and nutrition security. Strategies to anchor GLDC seed systems were identified</w:t>
            </w:r>
            <w:r w:rsidR="000A6C26">
              <w:rPr>
                <w:sz w:val="20"/>
                <w:szCs w:val="20"/>
                <w:highlight w:val="white"/>
              </w:rPr>
              <w:t xml:space="preserve"> that include policy </w:t>
            </w:r>
            <w:r w:rsidR="005962A6">
              <w:rPr>
                <w:sz w:val="20"/>
                <w:szCs w:val="20"/>
                <w:highlight w:val="white"/>
              </w:rPr>
              <w:t>favoring</w:t>
            </w:r>
            <w:r w:rsidR="000A6C26">
              <w:rPr>
                <w:sz w:val="20"/>
                <w:szCs w:val="20"/>
                <w:highlight w:val="white"/>
              </w:rPr>
              <w:t xml:space="preserve"> </w:t>
            </w:r>
            <w:r w:rsidR="000A6C26">
              <w:rPr>
                <w:sz w:val="20"/>
                <w:szCs w:val="20"/>
                <w:highlight w:val="white"/>
              </w:rPr>
              <w:lastRenderedPageBreak/>
              <w:t xml:space="preserve">seed sector, and engagement with seed trade and agro-dealers. </w:t>
            </w:r>
          </w:p>
        </w:tc>
        <w:tc>
          <w:tcPr>
            <w:tcW w:w="769" w:type="pct"/>
            <w:shd w:val="clear" w:color="auto" w:fill="auto"/>
            <w:tcMar>
              <w:top w:w="100" w:type="dxa"/>
              <w:left w:w="100" w:type="dxa"/>
              <w:bottom w:w="100" w:type="dxa"/>
              <w:right w:w="100" w:type="dxa"/>
            </w:tcMar>
          </w:tcPr>
          <w:p w14:paraId="5DB11AEB" w14:textId="44046570" w:rsidR="002706C7" w:rsidRPr="002706C7" w:rsidRDefault="002706C7" w:rsidP="002706C7">
            <w:pPr>
              <w:ind w:right="100"/>
              <w:rPr>
                <w:sz w:val="20"/>
                <w:szCs w:val="20"/>
              </w:rPr>
            </w:pPr>
            <w:r w:rsidRPr="002706C7">
              <w:rPr>
                <w:sz w:val="20"/>
                <w:szCs w:val="20"/>
              </w:rPr>
              <w:lastRenderedPageBreak/>
              <w:t xml:space="preserve">5. Studies conducted to inform the seed systems strengthening areas for target cereals and legumes - at least 1 study per crop x </w:t>
            </w:r>
            <w:proofErr w:type="spellStart"/>
            <w:r w:rsidRPr="002706C7">
              <w:rPr>
                <w:sz w:val="20"/>
                <w:szCs w:val="20"/>
              </w:rPr>
              <w:t>agrifood</w:t>
            </w:r>
            <w:proofErr w:type="spellEnd"/>
            <w:r w:rsidRPr="002706C7">
              <w:rPr>
                <w:sz w:val="20"/>
                <w:szCs w:val="20"/>
              </w:rPr>
              <w:t xml:space="preserve"> systems x region.</w:t>
            </w:r>
          </w:p>
        </w:tc>
        <w:tc>
          <w:tcPr>
            <w:tcW w:w="416" w:type="pct"/>
            <w:shd w:val="clear" w:color="auto" w:fill="auto"/>
            <w:tcMar>
              <w:top w:w="100" w:type="dxa"/>
              <w:left w:w="100" w:type="dxa"/>
              <w:bottom w:w="100" w:type="dxa"/>
              <w:right w:w="100" w:type="dxa"/>
            </w:tcMar>
          </w:tcPr>
          <w:p w14:paraId="6E629AE3" w14:textId="605FAFF1" w:rsidR="002706C7" w:rsidRDefault="002706C7" w:rsidP="008F4576">
            <w:pPr>
              <w:jc w:val="center"/>
              <w:rPr>
                <w:sz w:val="20"/>
                <w:szCs w:val="20"/>
              </w:rPr>
            </w:pPr>
            <w:r>
              <w:rPr>
                <w:sz w:val="20"/>
                <w:szCs w:val="20"/>
              </w:rPr>
              <w:t>Completed</w:t>
            </w:r>
          </w:p>
        </w:tc>
        <w:tc>
          <w:tcPr>
            <w:tcW w:w="1098" w:type="pct"/>
          </w:tcPr>
          <w:p w14:paraId="57DCD76C" w14:textId="2C76B08C" w:rsidR="002706C7" w:rsidRPr="00D93BF7" w:rsidRDefault="002706C7" w:rsidP="002706C7">
            <w:pPr>
              <w:rPr>
                <w:sz w:val="20"/>
                <w:szCs w:val="20"/>
              </w:rPr>
            </w:pPr>
          </w:p>
        </w:tc>
        <w:tc>
          <w:tcPr>
            <w:tcW w:w="1098" w:type="pct"/>
            <w:shd w:val="clear" w:color="auto" w:fill="auto"/>
            <w:tcMar>
              <w:top w:w="100" w:type="dxa"/>
              <w:left w:w="100" w:type="dxa"/>
              <w:bottom w:w="100" w:type="dxa"/>
              <w:right w:w="100" w:type="dxa"/>
            </w:tcMar>
          </w:tcPr>
          <w:p w14:paraId="4E4125DF" w14:textId="77777777" w:rsidR="002706C7" w:rsidRPr="00D93BF7" w:rsidRDefault="002706C7" w:rsidP="008F4576">
            <w:pPr>
              <w:jc w:val="center"/>
              <w:rPr>
                <w:sz w:val="20"/>
                <w:szCs w:val="20"/>
              </w:rPr>
            </w:pPr>
          </w:p>
        </w:tc>
      </w:tr>
      <w:tr w:rsidR="002706C7" w:rsidRPr="00D93BF7" w14:paraId="313A42E3" w14:textId="77777777" w:rsidTr="002706C7">
        <w:trPr>
          <w:trHeight w:val="1080"/>
        </w:trPr>
        <w:tc>
          <w:tcPr>
            <w:tcW w:w="186" w:type="pct"/>
            <w:shd w:val="clear" w:color="auto" w:fill="auto"/>
            <w:tcMar>
              <w:top w:w="100" w:type="dxa"/>
              <w:left w:w="100" w:type="dxa"/>
              <w:bottom w:w="100" w:type="dxa"/>
              <w:right w:w="100" w:type="dxa"/>
            </w:tcMar>
          </w:tcPr>
          <w:p w14:paraId="7A32A390" w14:textId="2324BB62" w:rsidR="002706C7" w:rsidRDefault="002706C7" w:rsidP="008F4576">
            <w:pPr>
              <w:rPr>
                <w:sz w:val="20"/>
                <w:szCs w:val="20"/>
              </w:rPr>
            </w:pPr>
            <w:r>
              <w:rPr>
                <w:sz w:val="20"/>
                <w:szCs w:val="20"/>
              </w:rPr>
              <w:lastRenderedPageBreak/>
              <w:t>4</w:t>
            </w:r>
          </w:p>
        </w:tc>
        <w:tc>
          <w:tcPr>
            <w:tcW w:w="601" w:type="pct"/>
            <w:shd w:val="clear" w:color="auto" w:fill="auto"/>
            <w:tcMar>
              <w:top w:w="100" w:type="dxa"/>
              <w:left w:w="100" w:type="dxa"/>
              <w:bottom w:w="100" w:type="dxa"/>
              <w:right w:w="100" w:type="dxa"/>
            </w:tcMar>
          </w:tcPr>
          <w:p w14:paraId="03B9B80A" w14:textId="461B76DB" w:rsidR="002706C7" w:rsidRPr="002706C7" w:rsidRDefault="002706C7" w:rsidP="006E5498">
            <w:pPr>
              <w:ind w:right="100"/>
              <w:rPr>
                <w:sz w:val="20"/>
                <w:szCs w:val="20"/>
              </w:rPr>
            </w:pPr>
            <w:r w:rsidRPr="002706C7">
              <w:rPr>
                <w:sz w:val="20"/>
                <w:szCs w:val="20"/>
              </w:rPr>
              <w:t>FP4.O2. Robust and responsive global to national breeding systems produce and deliver novel varieties and allied innovations at appropriate scale and scope</w:t>
            </w:r>
          </w:p>
        </w:tc>
        <w:tc>
          <w:tcPr>
            <w:tcW w:w="832" w:type="pct"/>
            <w:shd w:val="clear" w:color="auto" w:fill="auto"/>
            <w:tcMar>
              <w:top w:w="100" w:type="dxa"/>
              <w:left w:w="100" w:type="dxa"/>
              <w:bottom w:w="100" w:type="dxa"/>
              <w:right w:w="100" w:type="dxa"/>
            </w:tcMar>
          </w:tcPr>
          <w:p w14:paraId="06D5FA54" w14:textId="1B094CDA" w:rsidR="002706C7" w:rsidRPr="002706C7" w:rsidRDefault="000A6C26" w:rsidP="001969A3">
            <w:pPr>
              <w:ind w:right="100"/>
              <w:rPr>
                <w:sz w:val="20"/>
                <w:szCs w:val="20"/>
                <w:highlight w:val="white"/>
              </w:rPr>
            </w:pPr>
            <w:r>
              <w:rPr>
                <w:sz w:val="20"/>
                <w:szCs w:val="20"/>
                <w:highlight w:val="white"/>
              </w:rPr>
              <w:t xml:space="preserve">Based on the study report the engagement of seed trade and other value chain actors thorough crop network groups leads to complimentary partner engagement. </w:t>
            </w:r>
          </w:p>
        </w:tc>
        <w:tc>
          <w:tcPr>
            <w:tcW w:w="769" w:type="pct"/>
            <w:shd w:val="clear" w:color="auto" w:fill="auto"/>
            <w:tcMar>
              <w:top w:w="100" w:type="dxa"/>
              <w:left w:w="100" w:type="dxa"/>
              <w:bottom w:w="100" w:type="dxa"/>
              <w:right w:w="100" w:type="dxa"/>
            </w:tcMar>
          </w:tcPr>
          <w:p w14:paraId="59F11FD0" w14:textId="1213417D" w:rsidR="002706C7" w:rsidRPr="002706C7" w:rsidRDefault="002706C7" w:rsidP="002706C7">
            <w:pPr>
              <w:ind w:right="100"/>
              <w:rPr>
                <w:sz w:val="20"/>
                <w:szCs w:val="20"/>
              </w:rPr>
            </w:pPr>
            <w:r w:rsidRPr="002706C7">
              <w:rPr>
                <w:sz w:val="20"/>
                <w:szCs w:val="20"/>
              </w:rPr>
              <w:t>6. Complementary partners engaged to support scaling efforts based on country strategies.</w:t>
            </w:r>
          </w:p>
        </w:tc>
        <w:tc>
          <w:tcPr>
            <w:tcW w:w="416" w:type="pct"/>
            <w:shd w:val="clear" w:color="auto" w:fill="auto"/>
            <w:tcMar>
              <w:top w:w="100" w:type="dxa"/>
              <w:left w:w="100" w:type="dxa"/>
              <w:bottom w:w="100" w:type="dxa"/>
              <w:right w:w="100" w:type="dxa"/>
            </w:tcMar>
          </w:tcPr>
          <w:p w14:paraId="125E4A5A" w14:textId="7BAE22ED" w:rsidR="002706C7" w:rsidRDefault="002706C7" w:rsidP="008F4576">
            <w:pPr>
              <w:jc w:val="center"/>
              <w:rPr>
                <w:sz w:val="20"/>
                <w:szCs w:val="20"/>
              </w:rPr>
            </w:pPr>
            <w:r>
              <w:rPr>
                <w:sz w:val="20"/>
                <w:szCs w:val="20"/>
              </w:rPr>
              <w:t>Completed</w:t>
            </w:r>
          </w:p>
        </w:tc>
        <w:tc>
          <w:tcPr>
            <w:tcW w:w="1098" w:type="pct"/>
          </w:tcPr>
          <w:p w14:paraId="465725BA" w14:textId="77777777" w:rsidR="002706C7" w:rsidRDefault="002706C7" w:rsidP="002706C7">
            <w:pPr>
              <w:rPr>
                <w:sz w:val="20"/>
                <w:szCs w:val="20"/>
              </w:rPr>
            </w:pPr>
          </w:p>
        </w:tc>
        <w:tc>
          <w:tcPr>
            <w:tcW w:w="1098" w:type="pct"/>
            <w:shd w:val="clear" w:color="auto" w:fill="auto"/>
            <w:tcMar>
              <w:top w:w="100" w:type="dxa"/>
              <w:left w:w="100" w:type="dxa"/>
              <w:bottom w:w="100" w:type="dxa"/>
              <w:right w:w="100" w:type="dxa"/>
            </w:tcMar>
          </w:tcPr>
          <w:p w14:paraId="184F31E8" w14:textId="77777777" w:rsidR="002706C7" w:rsidRPr="00D93BF7" w:rsidRDefault="002706C7" w:rsidP="008F4576">
            <w:pPr>
              <w:jc w:val="center"/>
              <w:rPr>
                <w:sz w:val="20"/>
                <w:szCs w:val="20"/>
              </w:rPr>
            </w:pPr>
          </w:p>
        </w:tc>
      </w:tr>
    </w:tbl>
    <w:p w14:paraId="7F0DB861" w14:textId="77777777" w:rsidR="006E40C8" w:rsidRDefault="006E40C8" w:rsidP="006E40C8"/>
    <w:p w14:paraId="4C674F3C" w14:textId="77777777" w:rsidR="006E40C8" w:rsidRDefault="006E40C8" w:rsidP="006E40C8"/>
    <w:p w14:paraId="32577D26" w14:textId="77777777" w:rsidR="006E40C8" w:rsidRDefault="006E40C8" w:rsidP="006E40C8"/>
    <w:p w14:paraId="6168F82A" w14:textId="77777777" w:rsidR="006E40C8" w:rsidRDefault="006E40C8" w:rsidP="006E40C8"/>
    <w:p w14:paraId="1305498A" w14:textId="77777777" w:rsidR="006E40C8" w:rsidRDefault="006E40C8" w:rsidP="006E40C8"/>
    <w:p w14:paraId="4CE2E449" w14:textId="77777777" w:rsidR="006E40C8" w:rsidRDefault="006E40C8" w:rsidP="006E40C8"/>
    <w:p w14:paraId="375CA45B" w14:textId="69429EEB" w:rsidR="006E40C8" w:rsidRDefault="006E40C8" w:rsidP="006E40C8"/>
    <w:p w14:paraId="3BD7854C" w14:textId="56218BFA" w:rsidR="006E40C8" w:rsidRDefault="006E40C8" w:rsidP="006E40C8"/>
    <w:p w14:paraId="6003C7B7" w14:textId="77777777" w:rsidR="006E40C8" w:rsidRDefault="006E40C8" w:rsidP="006E40C8"/>
    <w:p w14:paraId="7819F6BF" w14:textId="77777777" w:rsidR="006E40C8" w:rsidRDefault="006E40C8" w:rsidP="006E40C8"/>
    <w:p w14:paraId="171BE65D" w14:textId="77777777" w:rsidR="006E40C8" w:rsidRPr="00413F1B" w:rsidRDefault="006E40C8" w:rsidP="006E40C8">
      <w:pPr>
        <w:pStyle w:val="Heading1"/>
        <w:rPr>
          <w:color w:val="BFBFBF" w:themeColor="background1" w:themeShade="BF"/>
          <w:sz w:val="24"/>
        </w:rPr>
      </w:pPr>
      <w:bookmarkStart w:id="22" w:name="_Toc531191907"/>
      <w:bookmarkStart w:id="23" w:name="_Ref531211898"/>
      <w:bookmarkStart w:id="24" w:name="_Ref531214738"/>
      <w:bookmarkStart w:id="25" w:name="_Toc531264773"/>
      <w:bookmarkStart w:id="26" w:name="_Hlk531117223"/>
      <w:r w:rsidRPr="00413F1B">
        <w:rPr>
          <w:color w:val="BFBFBF" w:themeColor="background1" w:themeShade="BF"/>
          <w:sz w:val="24"/>
        </w:rPr>
        <w:t xml:space="preserve">Table </w:t>
      </w:r>
      <w:r>
        <w:rPr>
          <w:color w:val="BFBFBF" w:themeColor="background1" w:themeShade="BF"/>
          <w:sz w:val="24"/>
        </w:rPr>
        <w:t>2</w:t>
      </w:r>
      <w:r w:rsidRPr="00413F1B">
        <w:rPr>
          <w:color w:val="BFBFBF" w:themeColor="background1" w:themeShade="BF"/>
          <w:sz w:val="24"/>
        </w:rPr>
        <w:t>: Evidence on Progress towards SRF targets (Sphere of interest)</w:t>
      </w:r>
      <w:bookmarkEnd w:id="22"/>
      <w:bookmarkEnd w:id="23"/>
      <w:bookmarkEnd w:id="24"/>
      <w:bookmarkEnd w:id="25"/>
      <w:r w:rsidRPr="00413F1B">
        <w:rPr>
          <w:color w:val="BFBFBF" w:themeColor="background1" w:themeShade="BF"/>
          <w:sz w:val="24"/>
        </w:rPr>
        <w:t xml:space="preserve"> </w:t>
      </w:r>
    </w:p>
    <w:p w14:paraId="246143B2" w14:textId="77777777" w:rsidR="006E40C8" w:rsidRDefault="006E40C8" w:rsidP="006E40C8">
      <w:pPr>
        <w:widowControl w:val="0"/>
        <w:pBdr>
          <w:top w:val="nil"/>
          <w:left w:val="nil"/>
          <w:bottom w:val="nil"/>
          <w:right w:val="nil"/>
          <w:between w:val="nil"/>
        </w:pBdr>
        <w:rPr>
          <w:color w:val="000000"/>
        </w:rPr>
      </w:pPr>
    </w:p>
    <w:p w14:paraId="426EC933" w14:textId="77777777" w:rsidR="006E40C8" w:rsidRDefault="006E40C8" w:rsidP="006E40C8">
      <w:pPr>
        <w:widowControl w:val="0"/>
        <w:pBdr>
          <w:top w:val="nil"/>
          <w:left w:val="nil"/>
          <w:bottom w:val="nil"/>
          <w:right w:val="nil"/>
          <w:between w:val="nil"/>
        </w:pBdr>
        <w:rPr>
          <w:color w:val="000000"/>
        </w:rPr>
      </w:pPr>
      <w:r>
        <w:rPr>
          <w:color w:val="000000"/>
        </w:rPr>
        <w:t xml:space="preserve">Instructions:  </w:t>
      </w:r>
    </w:p>
    <w:p w14:paraId="2F297295" w14:textId="77777777" w:rsidR="006E40C8" w:rsidRDefault="006E40C8" w:rsidP="006E40C8">
      <w:pPr>
        <w:widowControl w:val="0"/>
        <w:pBdr>
          <w:top w:val="nil"/>
          <w:left w:val="nil"/>
          <w:bottom w:val="nil"/>
          <w:right w:val="nil"/>
          <w:between w:val="nil"/>
        </w:pBdr>
        <w:rPr>
          <w:color w:val="000000"/>
        </w:rPr>
      </w:pPr>
    </w:p>
    <w:p w14:paraId="641D9BCA" w14:textId="77777777" w:rsidR="006E40C8" w:rsidRDefault="006E40C8" w:rsidP="006E40C8">
      <w:pPr>
        <w:widowControl w:val="0"/>
        <w:pBdr>
          <w:top w:val="nil"/>
          <w:left w:val="nil"/>
          <w:bottom w:val="nil"/>
          <w:right w:val="nil"/>
          <w:between w:val="nil"/>
        </w:pBdr>
        <w:rPr>
          <w:color w:val="000000"/>
        </w:rPr>
      </w:pPr>
      <w:r>
        <w:rPr>
          <w:color w:val="000000"/>
        </w:rPr>
        <w:t xml:space="preserve">Please complete this table with any available high-quality evidence on progress that was published or made available in 2018.   Do not hesitate to state, “no new evidence available this year”, in column 2 if necessary, since we are trying to demonstrate evidence gaps and the need for additional funding for this area.   </w:t>
      </w:r>
    </w:p>
    <w:p w14:paraId="5EEE702B" w14:textId="77777777" w:rsidR="006E40C8" w:rsidRDefault="006E40C8" w:rsidP="006E40C8">
      <w:pPr>
        <w:widowControl w:val="0"/>
        <w:pBdr>
          <w:top w:val="nil"/>
          <w:left w:val="nil"/>
          <w:bottom w:val="nil"/>
          <w:right w:val="nil"/>
          <w:between w:val="nil"/>
        </w:pBdr>
        <w:rPr>
          <w:color w:val="9900CC"/>
        </w:rPr>
      </w:pPr>
    </w:p>
    <w:p w14:paraId="7C520F03" w14:textId="77777777" w:rsidR="006E40C8" w:rsidRPr="00C33273" w:rsidRDefault="006E40C8" w:rsidP="006E40C8">
      <w:pPr>
        <w:widowControl w:val="0"/>
        <w:pBdr>
          <w:top w:val="nil"/>
          <w:left w:val="nil"/>
          <w:bottom w:val="nil"/>
          <w:right w:val="nil"/>
          <w:between w:val="nil"/>
        </w:pBdr>
      </w:pPr>
      <w:r w:rsidRPr="00C33273">
        <w:t xml:space="preserve">For examples of how this information can be phrased and referenced, please see Annex Table A </w:t>
      </w:r>
      <w:hyperlink r:id="rId10">
        <w:r w:rsidRPr="00C33273">
          <w:rPr>
            <w:u w:val="single"/>
          </w:rPr>
          <w:t>here</w:t>
        </w:r>
      </w:hyperlink>
      <w:r w:rsidRPr="00C33273">
        <w:t xml:space="preserve"> in the previous CGIAR Annual Performance Report.  Please provide information on all relevant SRF targets for a single study or innovation, to the extent possible.  Example:  please see in the 2017 report Annex Table A how findings from a single rice review have been allocated between targets for adoption, poverty and yield increases.   Insofar as possible, please also disaggregate the effect of different innovations (e.g. in the above example NERICA rice could potentially be separated from another group of CGIAR rice varieties).    </w:t>
      </w:r>
    </w:p>
    <w:p w14:paraId="7316EDC8" w14:textId="77777777" w:rsidR="006E40C8" w:rsidRPr="00C33273" w:rsidRDefault="006E40C8" w:rsidP="006E40C8">
      <w:pPr>
        <w:widowControl w:val="0"/>
        <w:pBdr>
          <w:top w:val="nil"/>
          <w:left w:val="nil"/>
          <w:bottom w:val="nil"/>
          <w:right w:val="nil"/>
          <w:between w:val="nil"/>
        </w:pBdr>
      </w:pPr>
    </w:p>
    <w:p w14:paraId="51AD100F" w14:textId="77777777" w:rsidR="006E40C8" w:rsidRPr="00B15D1B" w:rsidRDefault="006E40C8" w:rsidP="006E40C8">
      <w:pPr>
        <w:widowControl w:val="0"/>
        <w:rPr>
          <w:color w:val="FF0000"/>
        </w:rPr>
      </w:pPr>
      <w:r w:rsidRPr="00C33273">
        <w:t xml:space="preserve">If the adoption or impact data comes from a relevant innovation or contribution of the CGIAR prior to the CRP start-up (e.g. varieties released before the CRP start-up, which for most CRPs would be approximately 2012), then please support statements with published references, as shown in the 2017 Annual Report Annex Table A above.   </w:t>
      </w:r>
      <w:r w:rsidRPr="00C33273">
        <w:rPr>
          <w:u w:val="single"/>
        </w:rPr>
        <w:t>Nearly all adoption or impact studies fall into the above category.</w:t>
      </w:r>
      <w:r w:rsidRPr="00B15D1B">
        <w:rPr>
          <w:color w:val="7030A0"/>
          <w:u w:val="single"/>
        </w:rPr>
        <w:t xml:space="preserve">  </w:t>
      </w:r>
      <w:r w:rsidRPr="00B15D1B">
        <w:rPr>
          <w:color w:val="7030A0"/>
        </w:rPr>
        <w:t xml:space="preserve">  </w:t>
      </w:r>
      <w:r w:rsidRPr="00A418A6">
        <w:rPr>
          <w:color w:val="7B7B7B" w:themeColor="accent3" w:themeShade="BF"/>
        </w:rPr>
        <w:t xml:space="preserve">There are (as yet) a </w:t>
      </w:r>
      <w:r w:rsidRPr="00A418A6">
        <w:rPr>
          <w:color w:val="7B7B7B" w:themeColor="accent3" w:themeShade="BF"/>
          <w:u w:val="single"/>
        </w:rPr>
        <w:t>few</w:t>
      </w:r>
      <w:r w:rsidRPr="00A418A6">
        <w:rPr>
          <w:color w:val="7B7B7B" w:themeColor="accent3" w:themeShade="BF"/>
        </w:rPr>
        <w:t xml:space="preserve"> cases (two in 2017) in which the estimated figures for at-scale adoption or impact result from an innovation released within the CRP period, for example some biofortification numbers in 2017.  If this is the case, then the statement </w:t>
      </w:r>
      <w:r w:rsidRPr="00A418A6">
        <w:rPr>
          <w:color w:val="7B7B7B" w:themeColor="accent3" w:themeShade="BF"/>
          <w:u w:val="single"/>
        </w:rPr>
        <w:t>must</w:t>
      </w:r>
      <w:r w:rsidRPr="00A418A6">
        <w:rPr>
          <w:color w:val="7B7B7B" w:themeColor="accent3" w:themeShade="BF"/>
        </w:rPr>
        <w:t xml:space="preserve"> be supported by a link to an Outcome/ Impact Case Report </w:t>
      </w:r>
      <w:r w:rsidRPr="00A418A6">
        <w:rPr>
          <w:b/>
          <w:color w:val="7B7B7B" w:themeColor="accent3" w:themeShade="BF"/>
        </w:rPr>
        <w:t>Maturity Level 3</w:t>
      </w:r>
      <w:r w:rsidRPr="00A418A6">
        <w:rPr>
          <w:color w:val="7B7B7B" w:themeColor="accent3" w:themeShade="BF"/>
        </w:rPr>
        <w:t xml:space="preserve"> (or if not, with unique identifier from any appropriate repository</w:t>
      </w:r>
      <w:r>
        <w:rPr>
          <w:color w:val="7B7B7B" w:themeColor="accent3" w:themeShade="BF"/>
        </w:rPr>
        <w:t xml:space="preserve"> or publisher website</w:t>
      </w:r>
      <w:r w:rsidRPr="00A418A6">
        <w:rPr>
          <w:color w:val="7B7B7B" w:themeColor="accent3" w:themeShade="BF"/>
        </w:rPr>
        <w:t>).</w:t>
      </w:r>
      <w:r w:rsidRPr="00B15D1B">
        <w:rPr>
          <w:color w:val="FF0000"/>
        </w:rPr>
        <w:t xml:space="preserve"> </w:t>
      </w:r>
    </w:p>
    <w:p w14:paraId="774DF9C5" w14:textId="77777777" w:rsidR="006E40C8" w:rsidRDefault="006E40C8" w:rsidP="006E40C8">
      <w:pPr>
        <w:widowControl w:val="0"/>
        <w:rPr>
          <w:color w:val="FF0000"/>
          <w:sz w:val="20"/>
          <w:szCs w:val="20"/>
        </w:rPr>
      </w:pPr>
    </w:p>
    <w:p w14:paraId="0573F11B" w14:textId="77777777" w:rsidR="006E40C8" w:rsidRDefault="006E40C8" w:rsidP="006E40C8">
      <w:pPr>
        <w:widowControl w:val="0"/>
        <w:rPr>
          <w:color w:val="FF0000"/>
          <w:sz w:val="20"/>
          <w:szCs w:val="20"/>
        </w:rPr>
      </w:pPr>
      <w:bookmarkStart w:id="27" w:name="_46r0co2" w:colFirst="0" w:colLast="0"/>
      <w:bookmarkEnd w:id="26"/>
      <w:bookmarkEnd w:id="27"/>
    </w:p>
    <w:tbl>
      <w:tblPr>
        <w:tblW w:w="14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5"/>
        <w:gridCol w:w="5245"/>
        <w:gridCol w:w="3660"/>
      </w:tblGrid>
      <w:tr w:rsidR="006E40C8" w14:paraId="7CA50811" w14:textId="77777777" w:rsidTr="008F4576">
        <w:trPr>
          <w:trHeight w:val="1582"/>
          <w:jc w:val="center"/>
        </w:trPr>
        <w:tc>
          <w:tcPr>
            <w:tcW w:w="558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F55A12" w14:textId="77777777" w:rsidR="006E40C8" w:rsidRDefault="006E40C8" w:rsidP="008F4576">
            <w:pPr>
              <w:keepNext/>
              <w:widowControl w:val="0"/>
              <w:jc w:val="center"/>
              <w:rPr>
                <w:b/>
                <w:sz w:val="20"/>
                <w:szCs w:val="20"/>
              </w:rPr>
            </w:pPr>
            <w:r>
              <w:rPr>
                <w:b/>
                <w:sz w:val="20"/>
                <w:szCs w:val="20"/>
              </w:rPr>
              <w:lastRenderedPageBreak/>
              <w:t>SLO Target (2022)</w:t>
            </w:r>
          </w:p>
          <w:p w14:paraId="1E8D4666" w14:textId="77777777" w:rsidR="006E40C8" w:rsidRDefault="006E40C8" w:rsidP="008F4576">
            <w:pPr>
              <w:keepNext/>
              <w:widowControl w:val="0"/>
              <w:rPr>
                <w:b/>
                <w:sz w:val="20"/>
                <w:szCs w:val="20"/>
              </w:rPr>
            </w:pPr>
          </w:p>
          <w:p w14:paraId="2CD27313" w14:textId="77777777" w:rsidR="006E40C8" w:rsidRDefault="006E40C8" w:rsidP="008F4576">
            <w:pPr>
              <w:keepNext/>
              <w:widowControl w:val="0"/>
              <w:rPr>
                <w:b/>
                <w:sz w:val="20"/>
                <w:szCs w:val="20"/>
              </w:rPr>
            </w:pPr>
          </w:p>
        </w:tc>
        <w:tc>
          <w:tcPr>
            <w:tcW w:w="52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956656" w14:textId="77777777" w:rsidR="006E40C8" w:rsidRPr="00F45CE6" w:rsidRDefault="006E40C8" w:rsidP="008F4576">
            <w:pPr>
              <w:keepNext/>
              <w:widowControl w:val="0"/>
              <w:rPr>
                <w:b/>
                <w:sz w:val="20"/>
                <w:szCs w:val="20"/>
              </w:rPr>
            </w:pPr>
            <w:r w:rsidRPr="00F45CE6">
              <w:rPr>
                <w:b/>
                <w:sz w:val="20"/>
                <w:szCs w:val="20"/>
              </w:rPr>
              <w:t xml:space="preserve">Brief summary of new evidence of CGIAR contribution </w:t>
            </w:r>
          </w:p>
          <w:p w14:paraId="1E83C131" w14:textId="77777777" w:rsidR="006E40C8" w:rsidRPr="00F45CE6" w:rsidRDefault="006E40C8" w:rsidP="008F4576">
            <w:pPr>
              <w:keepNext/>
              <w:widowControl w:val="0"/>
              <w:rPr>
                <w:b/>
                <w:sz w:val="20"/>
                <w:szCs w:val="20"/>
              </w:rPr>
            </w:pPr>
          </w:p>
          <w:p w14:paraId="3F97475F" w14:textId="77777777" w:rsidR="006E40C8" w:rsidRDefault="006E40C8" w:rsidP="008F4576">
            <w:pPr>
              <w:keepNext/>
              <w:widowControl w:val="0"/>
              <w:rPr>
                <w:i/>
                <w:sz w:val="20"/>
                <w:szCs w:val="20"/>
              </w:rPr>
            </w:pPr>
            <w:r w:rsidRPr="00F45CE6">
              <w:rPr>
                <w:sz w:val="20"/>
                <w:szCs w:val="20"/>
              </w:rPr>
              <w:t xml:space="preserve">[Put N/A if the specific SRF target is not applicable to your </w:t>
            </w:r>
            <w:r>
              <w:rPr>
                <w:sz w:val="20"/>
                <w:szCs w:val="20"/>
              </w:rPr>
              <w:t>FP</w:t>
            </w:r>
            <w:r w:rsidRPr="00F45CE6">
              <w:rPr>
                <w:sz w:val="20"/>
                <w:szCs w:val="20"/>
              </w:rPr>
              <w:t>.  Put “No new evidence in 2018” if the target is potentially relevant, but there is no new evidence available</w:t>
            </w:r>
            <w:r w:rsidRPr="00F45CE6">
              <w:rPr>
                <w:b/>
                <w:sz w:val="20"/>
                <w:szCs w:val="20"/>
              </w:rPr>
              <w:t xml:space="preserve">.  </w:t>
            </w:r>
            <w:r w:rsidRPr="00F45CE6">
              <w:rPr>
                <w:i/>
                <w:sz w:val="20"/>
                <w:szCs w:val="20"/>
              </w:rPr>
              <w:t>Spell out all acronyms.]</w:t>
            </w:r>
          </w:p>
          <w:p w14:paraId="2999E7CC" w14:textId="77777777" w:rsidR="006E40C8" w:rsidRDefault="006E40C8" w:rsidP="008F4576">
            <w:pPr>
              <w:keepNext/>
              <w:widowControl w:val="0"/>
              <w:rPr>
                <w:i/>
                <w:sz w:val="20"/>
                <w:szCs w:val="20"/>
              </w:rPr>
            </w:pPr>
          </w:p>
          <w:p w14:paraId="105E4040" w14:textId="77777777" w:rsidR="006E40C8" w:rsidRPr="00F45CE6" w:rsidRDefault="006E40C8" w:rsidP="008F4576">
            <w:pPr>
              <w:keepNext/>
              <w:widowControl w:val="0"/>
              <w:rPr>
                <w:b/>
                <w:sz w:val="20"/>
                <w:szCs w:val="20"/>
              </w:rPr>
            </w:pPr>
            <w:r>
              <w:rPr>
                <w:i/>
                <w:sz w:val="20"/>
                <w:szCs w:val="20"/>
              </w:rPr>
              <w:t>Maximum 150 words per entry.</w:t>
            </w:r>
          </w:p>
        </w:tc>
        <w:tc>
          <w:tcPr>
            <w:tcW w:w="3660" w:type="dxa"/>
            <w:tcBorders>
              <w:top w:val="single" w:sz="8" w:space="0" w:color="000000"/>
              <w:left w:val="single" w:sz="8" w:space="0" w:color="000000"/>
              <w:bottom w:val="single" w:sz="8" w:space="0" w:color="000000"/>
              <w:right w:val="single" w:sz="8" w:space="0" w:color="000000"/>
            </w:tcBorders>
            <w:shd w:val="clear" w:color="auto" w:fill="FFF2CC"/>
          </w:tcPr>
          <w:p w14:paraId="0AD38123" w14:textId="77777777" w:rsidR="006E40C8" w:rsidRPr="00F45CE6" w:rsidRDefault="006E40C8" w:rsidP="008F4576">
            <w:pPr>
              <w:keepNext/>
              <w:widowControl w:val="0"/>
              <w:rPr>
                <w:sz w:val="20"/>
                <w:szCs w:val="20"/>
              </w:rPr>
            </w:pPr>
            <w:r w:rsidRPr="00F45CE6">
              <w:rPr>
                <w:b/>
                <w:sz w:val="20"/>
                <w:szCs w:val="20"/>
              </w:rPr>
              <w:t xml:space="preserve">Expected additional contribution before end of 2022 </w:t>
            </w:r>
            <w:r w:rsidRPr="00F45CE6">
              <w:rPr>
                <w:b/>
                <w:sz w:val="20"/>
                <w:szCs w:val="20"/>
              </w:rPr>
              <w:br/>
            </w:r>
            <w:r w:rsidRPr="00F45CE6">
              <w:rPr>
                <w:sz w:val="20"/>
                <w:szCs w:val="20"/>
              </w:rPr>
              <w:t>(if not already fully covered).</w:t>
            </w:r>
          </w:p>
          <w:p w14:paraId="6F0DE3CB" w14:textId="77777777" w:rsidR="006E40C8" w:rsidRPr="00F45CE6" w:rsidRDefault="006E40C8" w:rsidP="008F4576">
            <w:pPr>
              <w:keepNext/>
              <w:widowControl w:val="0"/>
              <w:rPr>
                <w:sz w:val="20"/>
                <w:szCs w:val="20"/>
              </w:rPr>
            </w:pPr>
          </w:p>
          <w:p w14:paraId="02E8D8E9" w14:textId="77777777" w:rsidR="006E40C8" w:rsidRDefault="006E40C8" w:rsidP="008F4576">
            <w:pPr>
              <w:keepNext/>
              <w:widowControl w:val="0"/>
              <w:rPr>
                <w:b/>
                <w:i/>
                <w:sz w:val="20"/>
                <w:szCs w:val="20"/>
              </w:rPr>
            </w:pPr>
            <w:r w:rsidRPr="00F45CE6">
              <w:rPr>
                <w:b/>
                <w:i/>
                <w:sz w:val="20"/>
                <w:szCs w:val="20"/>
              </w:rPr>
              <w:t>Optional narrative.  Evidence not required.</w:t>
            </w:r>
          </w:p>
          <w:p w14:paraId="39D6275B" w14:textId="77777777" w:rsidR="006E40C8" w:rsidRDefault="006E40C8" w:rsidP="008F4576">
            <w:pPr>
              <w:keepNext/>
              <w:widowControl w:val="0"/>
              <w:rPr>
                <w:b/>
                <w:i/>
                <w:sz w:val="20"/>
                <w:szCs w:val="20"/>
              </w:rPr>
            </w:pPr>
          </w:p>
          <w:p w14:paraId="67B09730" w14:textId="77777777" w:rsidR="006E40C8" w:rsidRPr="00853D9C" w:rsidRDefault="006E40C8" w:rsidP="008F4576">
            <w:pPr>
              <w:keepNext/>
              <w:widowControl w:val="0"/>
              <w:rPr>
                <w:i/>
                <w:sz w:val="20"/>
                <w:szCs w:val="20"/>
              </w:rPr>
            </w:pPr>
            <w:r w:rsidRPr="00853D9C">
              <w:rPr>
                <w:i/>
                <w:sz w:val="20"/>
                <w:szCs w:val="20"/>
              </w:rPr>
              <w:t>Max</w:t>
            </w:r>
            <w:r>
              <w:rPr>
                <w:i/>
                <w:sz w:val="20"/>
                <w:szCs w:val="20"/>
              </w:rPr>
              <w:t>.</w:t>
            </w:r>
            <w:r w:rsidRPr="00853D9C">
              <w:rPr>
                <w:i/>
                <w:sz w:val="20"/>
                <w:szCs w:val="20"/>
              </w:rPr>
              <w:t xml:space="preserve"> </w:t>
            </w:r>
            <w:r>
              <w:rPr>
                <w:i/>
                <w:sz w:val="20"/>
                <w:szCs w:val="20"/>
              </w:rPr>
              <w:t>100</w:t>
            </w:r>
            <w:r w:rsidRPr="00853D9C">
              <w:rPr>
                <w:i/>
                <w:sz w:val="20"/>
                <w:szCs w:val="20"/>
              </w:rPr>
              <w:t xml:space="preserve"> words</w:t>
            </w:r>
          </w:p>
        </w:tc>
      </w:tr>
      <w:tr w:rsidR="006E40C8" w14:paraId="6B9CB4F8" w14:textId="77777777" w:rsidTr="008F4576">
        <w:trPr>
          <w:trHeight w:val="594"/>
          <w:jc w:val="center"/>
        </w:trPr>
        <w:tc>
          <w:tcPr>
            <w:tcW w:w="5585" w:type="dxa"/>
            <w:tcBorders>
              <w:top w:val="single" w:sz="8" w:space="0" w:color="000000"/>
            </w:tcBorders>
            <w:shd w:val="clear" w:color="auto" w:fill="FFF2CC"/>
            <w:tcMar>
              <w:top w:w="100" w:type="dxa"/>
              <w:left w:w="100" w:type="dxa"/>
              <w:bottom w:w="100" w:type="dxa"/>
              <w:right w:w="100" w:type="dxa"/>
            </w:tcMar>
          </w:tcPr>
          <w:p w14:paraId="62336923" w14:textId="77777777" w:rsidR="006E40C8" w:rsidRDefault="006E40C8" w:rsidP="008F4576">
            <w:pPr>
              <w:keepNext/>
              <w:widowControl w:val="0"/>
              <w:rPr>
                <w:sz w:val="20"/>
                <w:szCs w:val="20"/>
              </w:rPr>
            </w:pPr>
            <w:r>
              <w:rPr>
                <w:b/>
                <w:sz w:val="20"/>
                <w:szCs w:val="20"/>
              </w:rPr>
              <w:t>1.1.</w:t>
            </w:r>
            <w:r>
              <w:rPr>
                <w:sz w:val="20"/>
                <w:szCs w:val="20"/>
              </w:rPr>
              <w:t xml:space="preserve"> 100 million more farm households have adopted improved varieties, breeds, trees, and/or management practices </w:t>
            </w:r>
          </w:p>
        </w:tc>
        <w:tc>
          <w:tcPr>
            <w:tcW w:w="5245" w:type="dxa"/>
            <w:tcBorders>
              <w:top w:val="single" w:sz="8" w:space="0" w:color="000000"/>
            </w:tcBorders>
            <w:tcMar>
              <w:top w:w="100" w:type="dxa"/>
              <w:left w:w="100" w:type="dxa"/>
              <w:bottom w:w="100" w:type="dxa"/>
              <w:right w:w="100" w:type="dxa"/>
            </w:tcMar>
          </w:tcPr>
          <w:p w14:paraId="18665E97" w14:textId="5D1A5E52" w:rsidR="006E40C8" w:rsidRPr="00FD6E57" w:rsidRDefault="006E40C8" w:rsidP="008F4576">
            <w:pPr>
              <w:keepNext/>
              <w:widowControl w:val="0"/>
              <w:rPr>
                <w:sz w:val="20"/>
                <w:szCs w:val="20"/>
              </w:rPr>
            </w:pPr>
            <w:r w:rsidRPr="00FD6E57">
              <w:rPr>
                <w:sz w:val="20"/>
                <w:szCs w:val="20"/>
              </w:rPr>
              <w:t xml:space="preserve"> </w:t>
            </w:r>
            <w:r w:rsidR="000A6C26" w:rsidRPr="00FD6E57">
              <w:rPr>
                <w:sz w:val="20"/>
                <w:szCs w:val="20"/>
              </w:rPr>
              <w:t>1. The new varieties of GLDC crop commodities, with enhanced nutrition and/or market demand traits drive new seed value chains leading to increased adoption of new varieties in target zones.</w:t>
            </w:r>
          </w:p>
          <w:p w14:paraId="658196DA" w14:textId="77777777" w:rsidR="00EB16FA" w:rsidRDefault="000A6C26" w:rsidP="008F4576">
            <w:pPr>
              <w:keepNext/>
              <w:widowControl w:val="0"/>
              <w:rPr>
                <w:sz w:val="20"/>
                <w:szCs w:val="20"/>
              </w:rPr>
            </w:pPr>
            <w:r w:rsidRPr="00FD6E57">
              <w:rPr>
                <w:sz w:val="20"/>
                <w:szCs w:val="20"/>
              </w:rPr>
              <w:t>2. Stakeholder engagement through crop network groups drives sustainable seed systems and engages private seed sector to supply seed of new varieties that increases adoption of new varieties in target countries.</w:t>
            </w:r>
          </w:p>
          <w:p w14:paraId="2E93C814" w14:textId="378516AB" w:rsidR="000A6C26" w:rsidRPr="00FD6E57" w:rsidRDefault="000A6C26" w:rsidP="008F4576">
            <w:pPr>
              <w:keepNext/>
              <w:widowControl w:val="0"/>
              <w:rPr>
                <w:sz w:val="20"/>
                <w:szCs w:val="20"/>
              </w:rPr>
            </w:pPr>
            <w:r w:rsidRPr="00FD6E57">
              <w:rPr>
                <w:sz w:val="20"/>
                <w:szCs w:val="20"/>
              </w:rPr>
              <w:t xml:space="preserve"> </w:t>
            </w:r>
          </w:p>
          <w:p w14:paraId="07C36010" w14:textId="77777777" w:rsidR="00EB16FA" w:rsidRDefault="00791397" w:rsidP="00EB16FA">
            <w:pPr>
              <w:rPr>
                <w:sz w:val="20"/>
                <w:szCs w:val="20"/>
              </w:rPr>
            </w:pPr>
            <w:hyperlink r:id="rId11" w:history="1">
              <w:r w:rsidR="00EB16FA" w:rsidRPr="003558D5">
                <w:rPr>
                  <w:rStyle w:val="Hyperlink"/>
                  <w:sz w:val="20"/>
                  <w:szCs w:val="20"/>
                </w:rPr>
                <w:t>https://mel.cgiar.org/preplanning/relatedfiles/id/482/entity/actionsite</w:t>
              </w:r>
            </w:hyperlink>
          </w:p>
          <w:p w14:paraId="7E60D2DE" w14:textId="77777777" w:rsidR="00EB16FA" w:rsidRDefault="00EB16FA" w:rsidP="00EB16FA">
            <w:pPr>
              <w:rPr>
                <w:sz w:val="20"/>
                <w:szCs w:val="20"/>
              </w:rPr>
            </w:pPr>
          </w:p>
          <w:p w14:paraId="22AA67E7" w14:textId="77777777" w:rsidR="00EB16FA" w:rsidRDefault="00791397" w:rsidP="00EB16FA">
            <w:pPr>
              <w:rPr>
                <w:sz w:val="20"/>
                <w:szCs w:val="20"/>
              </w:rPr>
            </w:pPr>
            <w:hyperlink r:id="rId12" w:history="1">
              <w:r w:rsidR="00EB16FA" w:rsidRPr="003558D5">
                <w:rPr>
                  <w:rStyle w:val="Hyperlink"/>
                  <w:sz w:val="20"/>
                  <w:szCs w:val="20"/>
                </w:rPr>
                <w:t>https://mel.cgiar.org/preplanning/relatedfiles/id/484/entity/actionsite</w:t>
              </w:r>
            </w:hyperlink>
          </w:p>
          <w:p w14:paraId="69555262" w14:textId="67ADFA40" w:rsidR="000A6C26" w:rsidRPr="00FD6E57" w:rsidRDefault="000A6C26" w:rsidP="008F4576">
            <w:pPr>
              <w:keepNext/>
              <w:widowControl w:val="0"/>
              <w:rPr>
                <w:sz w:val="20"/>
                <w:szCs w:val="20"/>
              </w:rPr>
            </w:pPr>
          </w:p>
        </w:tc>
        <w:tc>
          <w:tcPr>
            <w:tcW w:w="3660" w:type="dxa"/>
            <w:tcBorders>
              <w:top w:val="single" w:sz="8" w:space="0" w:color="000000"/>
            </w:tcBorders>
          </w:tcPr>
          <w:p w14:paraId="09465E4F" w14:textId="1F0D2674" w:rsidR="006E40C8" w:rsidRPr="00FD6E57" w:rsidRDefault="00FD6E57" w:rsidP="008F4576">
            <w:pPr>
              <w:keepNext/>
              <w:widowControl w:val="0"/>
              <w:rPr>
                <w:sz w:val="20"/>
                <w:szCs w:val="20"/>
              </w:rPr>
            </w:pPr>
            <w:r w:rsidRPr="00FD6E57">
              <w:rPr>
                <w:sz w:val="20"/>
                <w:szCs w:val="20"/>
              </w:rPr>
              <w:t>1.Engagement with private seed sector bearing fruits of seed supply chains in target countries.</w:t>
            </w:r>
          </w:p>
        </w:tc>
      </w:tr>
      <w:tr w:rsidR="006E40C8" w14:paraId="5F07C9B4" w14:textId="77777777" w:rsidTr="008F4576">
        <w:trPr>
          <w:trHeight w:val="500"/>
          <w:jc w:val="center"/>
        </w:trPr>
        <w:tc>
          <w:tcPr>
            <w:tcW w:w="5585" w:type="dxa"/>
            <w:shd w:val="clear" w:color="auto" w:fill="FFF2CC"/>
            <w:tcMar>
              <w:top w:w="100" w:type="dxa"/>
              <w:left w:w="100" w:type="dxa"/>
              <w:bottom w:w="100" w:type="dxa"/>
              <w:right w:w="100" w:type="dxa"/>
            </w:tcMar>
          </w:tcPr>
          <w:p w14:paraId="75D777BD" w14:textId="2A478B91" w:rsidR="006E40C8" w:rsidRDefault="006E40C8" w:rsidP="008F4576">
            <w:pPr>
              <w:keepNext/>
              <w:widowControl w:val="0"/>
              <w:rPr>
                <w:sz w:val="20"/>
                <w:szCs w:val="20"/>
              </w:rPr>
            </w:pPr>
            <w:r>
              <w:rPr>
                <w:b/>
                <w:sz w:val="20"/>
                <w:szCs w:val="20"/>
              </w:rPr>
              <w:t>1.2.</w:t>
            </w:r>
            <w:r>
              <w:rPr>
                <w:sz w:val="20"/>
                <w:szCs w:val="20"/>
              </w:rPr>
              <w:t xml:space="preserve"> 30 million people, of which 50% are women, assisted to exit poverty</w:t>
            </w:r>
          </w:p>
        </w:tc>
        <w:tc>
          <w:tcPr>
            <w:tcW w:w="5245" w:type="dxa"/>
            <w:tcMar>
              <w:top w:w="100" w:type="dxa"/>
              <w:left w:w="100" w:type="dxa"/>
              <w:bottom w:w="100" w:type="dxa"/>
              <w:right w:w="100" w:type="dxa"/>
            </w:tcMar>
          </w:tcPr>
          <w:p w14:paraId="2A23C5E9" w14:textId="2A494A2E" w:rsidR="000A6C26" w:rsidRDefault="000A6C26" w:rsidP="008F4576">
            <w:pPr>
              <w:keepNext/>
              <w:widowControl w:val="0"/>
              <w:rPr>
                <w:rFonts w:asciiTheme="minorHAnsi" w:hAnsiTheme="minorHAnsi"/>
                <w:sz w:val="20"/>
                <w:szCs w:val="20"/>
              </w:rPr>
            </w:pPr>
            <w:r w:rsidRPr="00FD6E57">
              <w:rPr>
                <w:rFonts w:asciiTheme="minorHAnsi" w:hAnsiTheme="minorHAnsi"/>
                <w:sz w:val="20"/>
                <w:szCs w:val="20"/>
              </w:rPr>
              <w:t>1. Biofortified varieties drive women entrepreneurship like products for school meal programs using high protein Soybean.</w:t>
            </w:r>
            <w:r w:rsidR="00DF5088">
              <w:t xml:space="preserve"> (</w:t>
            </w:r>
            <w:hyperlink r:id="rId13" w:history="1">
              <w:r w:rsidR="00DF5088" w:rsidRPr="004C469C">
                <w:rPr>
                  <w:rStyle w:val="Hyperlink"/>
                  <w:rFonts w:asciiTheme="minorHAnsi" w:hAnsiTheme="minorHAnsi"/>
                  <w:sz w:val="20"/>
                  <w:szCs w:val="20"/>
                </w:rPr>
                <w:t>https://mailchi.mp/illinois/new-published-research-tasty-soy-badjias-in-sils-weekly-digest?e=ef90aaaeb5</w:t>
              </w:r>
            </w:hyperlink>
            <w:r w:rsidR="00DF5088">
              <w:rPr>
                <w:rFonts w:asciiTheme="minorHAnsi" w:hAnsiTheme="minorHAnsi"/>
                <w:sz w:val="20"/>
                <w:szCs w:val="20"/>
              </w:rPr>
              <w:t>)</w:t>
            </w:r>
          </w:p>
          <w:p w14:paraId="0251D594" w14:textId="50001C5B" w:rsidR="000A6C26" w:rsidRDefault="000A6C26" w:rsidP="00FD6E57">
            <w:pPr>
              <w:keepNext/>
              <w:widowControl w:val="0"/>
              <w:rPr>
                <w:rFonts w:asciiTheme="minorHAnsi" w:hAnsiTheme="minorHAnsi"/>
                <w:sz w:val="20"/>
                <w:szCs w:val="20"/>
              </w:rPr>
            </w:pPr>
            <w:r w:rsidRPr="00FD6E57">
              <w:rPr>
                <w:rFonts w:asciiTheme="minorHAnsi" w:hAnsiTheme="minorHAnsi"/>
                <w:sz w:val="20"/>
                <w:szCs w:val="20"/>
              </w:rPr>
              <w:t>2</w:t>
            </w:r>
            <w:r w:rsidR="00FD6E57" w:rsidRPr="00FD6E57">
              <w:rPr>
                <w:rFonts w:asciiTheme="minorHAnsi" w:hAnsiTheme="minorHAnsi"/>
                <w:sz w:val="20"/>
                <w:szCs w:val="20"/>
              </w:rPr>
              <w:t>. Machine harvestable chickpea and lentil offer opportunities to youth to begin enterprises assisting in harvest and threshing of crops.</w:t>
            </w:r>
            <w:r w:rsidR="00DF5088">
              <w:t xml:space="preserve"> </w:t>
            </w:r>
            <w:hyperlink r:id="rId14" w:history="1">
              <w:r w:rsidR="00DF5088" w:rsidRPr="004C469C">
                <w:rPr>
                  <w:rStyle w:val="Hyperlink"/>
                  <w:rFonts w:asciiTheme="minorHAnsi" w:hAnsiTheme="minorHAnsi"/>
                  <w:sz w:val="20"/>
                  <w:szCs w:val="20"/>
                </w:rPr>
                <w:t>http://www.icarda.org/update/lentil-farming-and-gender-norms-ethiopia</w:t>
              </w:r>
            </w:hyperlink>
            <w:r w:rsidR="00DF5088">
              <w:t xml:space="preserve"> (</w:t>
            </w:r>
            <w:r w:rsidR="00DF5088" w:rsidRPr="00DF5088">
              <w:rPr>
                <w:rFonts w:asciiTheme="minorHAnsi" w:hAnsiTheme="minorHAnsi"/>
                <w:sz w:val="20"/>
                <w:szCs w:val="20"/>
              </w:rPr>
              <w:t>FP4.2.3</w:t>
            </w:r>
            <w:r w:rsidR="00DF5088">
              <w:rPr>
                <w:rFonts w:asciiTheme="minorHAnsi" w:hAnsiTheme="minorHAnsi"/>
                <w:sz w:val="20"/>
                <w:szCs w:val="20"/>
              </w:rPr>
              <w:t xml:space="preserve">, </w:t>
            </w:r>
            <w:r w:rsidR="00DF5088" w:rsidRPr="00DF5088">
              <w:rPr>
                <w:rFonts w:asciiTheme="minorHAnsi" w:hAnsiTheme="minorHAnsi"/>
                <w:sz w:val="20"/>
                <w:szCs w:val="20"/>
              </w:rPr>
              <w:t>FP4.2.64</w:t>
            </w:r>
            <w:r w:rsidR="00DF5088">
              <w:rPr>
                <w:rFonts w:asciiTheme="minorHAnsi" w:hAnsiTheme="minorHAnsi"/>
                <w:sz w:val="20"/>
                <w:szCs w:val="20"/>
              </w:rPr>
              <w:t xml:space="preserve">, </w:t>
            </w:r>
            <w:r w:rsidR="00DF5088" w:rsidRPr="00DF5088">
              <w:rPr>
                <w:rFonts w:asciiTheme="minorHAnsi" w:hAnsiTheme="minorHAnsi"/>
                <w:sz w:val="20"/>
                <w:szCs w:val="20"/>
              </w:rPr>
              <w:t>FP4.2.11</w:t>
            </w:r>
            <w:r w:rsidR="00DF5088">
              <w:rPr>
                <w:rFonts w:asciiTheme="minorHAnsi" w:hAnsiTheme="minorHAnsi"/>
                <w:sz w:val="20"/>
                <w:szCs w:val="20"/>
              </w:rPr>
              <w:t>)</w:t>
            </w:r>
          </w:p>
          <w:p w14:paraId="6619925B" w14:textId="335690CB" w:rsidR="00FD6E57" w:rsidRPr="00FD6E57" w:rsidRDefault="00FD6E57" w:rsidP="00DF5088">
            <w:pPr>
              <w:keepNext/>
              <w:widowControl w:val="0"/>
              <w:rPr>
                <w:rFonts w:asciiTheme="minorHAnsi" w:hAnsiTheme="minorHAnsi"/>
                <w:sz w:val="20"/>
                <w:szCs w:val="20"/>
              </w:rPr>
            </w:pPr>
            <w:r>
              <w:rPr>
                <w:rFonts w:asciiTheme="minorHAnsi" w:hAnsiTheme="minorHAnsi"/>
                <w:sz w:val="20"/>
                <w:szCs w:val="20"/>
              </w:rPr>
              <w:t xml:space="preserve">3. </w:t>
            </w:r>
            <w:r w:rsidRPr="00FD6E57">
              <w:rPr>
                <w:rFonts w:asciiTheme="minorHAnsi" w:hAnsiTheme="minorHAnsi"/>
                <w:sz w:val="20"/>
                <w:szCs w:val="20"/>
              </w:rPr>
              <w:t xml:space="preserve">Mechanization, hybrid seed production and biofortification offer scope for entrepreneurship to youth and bring them </w:t>
            </w:r>
            <w:r w:rsidRPr="00FD6E57">
              <w:rPr>
                <w:rFonts w:asciiTheme="minorHAnsi" w:hAnsiTheme="minorHAnsi"/>
                <w:sz w:val="20"/>
                <w:szCs w:val="20"/>
              </w:rPr>
              <w:lastRenderedPageBreak/>
              <w:t>back in agriculture.</w:t>
            </w:r>
            <w:r w:rsidR="00DF5088">
              <w:rPr>
                <w:rFonts w:asciiTheme="minorHAnsi" w:hAnsiTheme="minorHAnsi"/>
                <w:sz w:val="20"/>
                <w:szCs w:val="20"/>
              </w:rPr>
              <w:t xml:space="preserve"> </w:t>
            </w:r>
          </w:p>
        </w:tc>
        <w:tc>
          <w:tcPr>
            <w:tcW w:w="3660" w:type="dxa"/>
          </w:tcPr>
          <w:p w14:paraId="7E10A145" w14:textId="77777777" w:rsidR="006E40C8" w:rsidRDefault="006E40C8" w:rsidP="008F4576">
            <w:pPr>
              <w:keepNext/>
              <w:widowControl w:val="0"/>
              <w:rPr>
                <w:color w:val="000099"/>
                <w:sz w:val="20"/>
                <w:szCs w:val="20"/>
              </w:rPr>
            </w:pPr>
          </w:p>
        </w:tc>
      </w:tr>
      <w:tr w:rsidR="006E40C8" w14:paraId="5F425F68" w14:textId="77777777" w:rsidTr="008F4576">
        <w:trPr>
          <w:trHeight w:val="616"/>
          <w:jc w:val="center"/>
        </w:trPr>
        <w:tc>
          <w:tcPr>
            <w:tcW w:w="5585" w:type="dxa"/>
            <w:shd w:val="clear" w:color="auto" w:fill="FFF2CC"/>
            <w:tcMar>
              <w:top w:w="100" w:type="dxa"/>
              <w:left w:w="100" w:type="dxa"/>
              <w:bottom w:w="100" w:type="dxa"/>
              <w:right w:w="100" w:type="dxa"/>
            </w:tcMar>
          </w:tcPr>
          <w:p w14:paraId="48D1DF1F" w14:textId="396C34F7" w:rsidR="006E40C8" w:rsidRDefault="006E40C8" w:rsidP="008F4576">
            <w:pPr>
              <w:keepNext/>
              <w:widowControl w:val="0"/>
              <w:rPr>
                <w:sz w:val="20"/>
                <w:szCs w:val="20"/>
              </w:rPr>
            </w:pPr>
            <w:r>
              <w:rPr>
                <w:b/>
                <w:sz w:val="20"/>
                <w:szCs w:val="20"/>
              </w:rPr>
              <w:lastRenderedPageBreak/>
              <w:t>2.1.</w:t>
            </w:r>
            <w:r>
              <w:rPr>
                <w:sz w:val="20"/>
                <w:szCs w:val="20"/>
              </w:rPr>
              <w:t xml:space="preserve"> Improve the rate of yield increase for major food staples from current &lt;1% to 1.2-1.5% per year</w:t>
            </w:r>
          </w:p>
        </w:tc>
        <w:tc>
          <w:tcPr>
            <w:tcW w:w="5245" w:type="dxa"/>
            <w:tcMar>
              <w:top w:w="100" w:type="dxa"/>
              <w:left w:w="100" w:type="dxa"/>
              <w:bottom w:w="100" w:type="dxa"/>
              <w:right w:w="100" w:type="dxa"/>
            </w:tcMar>
          </w:tcPr>
          <w:p w14:paraId="16DFB7E3" w14:textId="77777777" w:rsidR="006E40C8" w:rsidRDefault="00FD6E57" w:rsidP="009D5C70">
            <w:pPr>
              <w:keepNext/>
              <w:widowControl w:val="0"/>
              <w:rPr>
                <w:rFonts w:asciiTheme="minorHAnsi" w:hAnsiTheme="minorHAnsi" w:cstheme="minorHAnsi"/>
                <w:sz w:val="20"/>
                <w:szCs w:val="20"/>
              </w:rPr>
            </w:pPr>
            <w:r w:rsidRPr="00FD6E57">
              <w:rPr>
                <w:rFonts w:asciiTheme="minorHAnsi" w:hAnsiTheme="minorHAnsi"/>
                <w:sz w:val="20"/>
                <w:szCs w:val="20"/>
              </w:rPr>
              <w:t xml:space="preserve">1. Improvement of yield has been primary target while attempting improvement of other traits hence adoption of new varieties at same level of inputs yield higher, for example, </w:t>
            </w:r>
            <w:r w:rsidR="009D5C70">
              <w:rPr>
                <w:rFonts w:asciiTheme="minorHAnsi" w:hAnsiTheme="minorHAnsi" w:cstheme="minorHAnsi"/>
                <w:bCs/>
                <w:sz w:val="20"/>
                <w:szCs w:val="20"/>
              </w:rPr>
              <w:t>15</w:t>
            </w:r>
            <w:r w:rsidR="009D5C70" w:rsidRPr="00FD6E57">
              <w:rPr>
                <w:rFonts w:asciiTheme="minorHAnsi" w:hAnsiTheme="minorHAnsi" w:cstheme="minorHAnsi"/>
                <w:bCs/>
                <w:sz w:val="20"/>
                <w:szCs w:val="20"/>
              </w:rPr>
              <w:t xml:space="preserve"> </w:t>
            </w:r>
            <w:r w:rsidRPr="00FD6E57">
              <w:rPr>
                <w:rFonts w:asciiTheme="minorHAnsi" w:hAnsiTheme="minorHAnsi" w:cstheme="minorHAnsi"/>
                <w:bCs/>
                <w:sz w:val="20"/>
                <w:szCs w:val="20"/>
              </w:rPr>
              <w:t xml:space="preserve">elite lentil lines </w:t>
            </w:r>
            <w:r w:rsidRPr="00FD6E57">
              <w:rPr>
                <w:rFonts w:asciiTheme="minorHAnsi" w:hAnsiTheme="minorHAnsi" w:cstheme="minorHAnsi"/>
                <w:sz w:val="20"/>
                <w:szCs w:val="20"/>
              </w:rPr>
              <w:t>amenable to machine harvest were identified with above 10% yield advantage over the best check and 16 high oleic groundnut lines that were superior in pod yield of up to 20% are in national testing.</w:t>
            </w:r>
          </w:p>
          <w:p w14:paraId="3B75E9AA" w14:textId="66FAE191" w:rsidR="00DF5088" w:rsidRDefault="00791397" w:rsidP="00DF5088">
            <w:pPr>
              <w:rPr>
                <w:rStyle w:val="Hyperlink"/>
                <w:rFonts w:ascii="Calibri" w:hAnsi="Calibri"/>
                <w:sz w:val="22"/>
                <w:szCs w:val="22"/>
              </w:rPr>
            </w:pPr>
            <w:hyperlink r:id="rId15" w:history="1">
              <w:r w:rsidR="00DF5088" w:rsidRPr="004C469C">
                <w:rPr>
                  <w:rStyle w:val="Hyperlink"/>
                  <w:rFonts w:ascii="Calibri" w:hAnsi="Calibri"/>
                  <w:sz w:val="22"/>
                  <w:szCs w:val="22"/>
                </w:rPr>
                <w:t>http://oar.icrisat.org/10849/</w:t>
              </w:r>
            </w:hyperlink>
          </w:p>
          <w:p w14:paraId="69260F4C" w14:textId="77777777" w:rsidR="00EB16FA" w:rsidRDefault="00EB16FA" w:rsidP="00DF5088">
            <w:pPr>
              <w:rPr>
                <w:rFonts w:ascii="Calibri" w:hAnsi="Calibri"/>
                <w:color w:val="000000"/>
                <w:sz w:val="22"/>
                <w:szCs w:val="22"/>
              </w:rPr>
            </w:pPr>
          </w:p>
          <w:p w14:paraId="7425B444" w14:textId="77777777" w:rsidR="00EB16FA" w:rsidRDefault="00791397" w:rsidP="00EB16FA">
            <w:pPr>
              <w:rPr>
                <w:sz w:val="20"/>
                <w:szCs w:val="20"/>
              </w:rPr>
            </w:pPr>
            <w:hyperlink r:id="rId16" w:history="1">
              <w:r w:rsidR="00EB16FA" w:rsidRPr="003558D5">
                <w:rPr>
                  <w:rStyle w:val="Hyperlink"/>
                  <w:sz w:val="20"/>
                  <w:szCs w:val="20"/>
                </w:rPr>
                <w:t>https://mel.cgiar.org/preplanning/relatedfiles/id/482/entity/actionsite</w:t>
              </w:r>
            </w:hyperlink>
          </w:p>
          <w:p w14:paraId="36699535" w14:textId="491E421F" w:rsidR="00DF5088" w:rsidRPr="00FD6E57" w:rsidRDefault="00DF5088" w:rsidP="009D5C70">
            <w:pPr>
              <w:keepNext/>
              <w:widowControl w:val="0"/>
              <w:rPr>
                <w:rFonts w:asciiTheme="minorHAnsi" w:hAnsiTheme="minorHAnsi"/>
                <w:sz w:val="20"/>
                <w:szCs w:val="20"/>
              </w:rPr>
            </w:pPr>
          </w:p>
        </w:tc>
        <w:tc>
          <w:tcPr>
            <w:tcW w:w="3660" w:type="dxa"/>
          </w:tcPr>
          <w:p w14:paraId="0B8DF025" w14:textId="77777777" w:rsidR="006E40C8" w:rsidRDefault="006E40C8" w:rsidP="008F4576">
            <w:pPr>
              <w:keepNext/>
              <w:widowControl w:val="0"/>
              <w:rPr>
                <w:color w:val="000099"/>
                <w:sz w:val="20"/>
                <w:szCs w:val="20"/>
              </w:rPr>
            </w:pPr>
          </w:p>
        </w:tc>
      </w:tr>
      <w:tr w:rsidR="006E40C8" w14:paraId="1F03442C" w14:textId="77777777" w:rsidTr="008F4576">
        <w:trPr>
          <w:trHeight w:val="760"/>
          <w:jc w:val="center"/>
        </w:trPr>
        <w:tc>
          <w:tcPr>
            <w:tcW w:w="5585" w:type="dxa"/>
            <w:shd w:val="clear" w:color="auto" w:fill="FFF2CC"/>
            <w:tcMar>
              <w:top w:w="100" w:type="dxa"/>
              <w:left w:w="100" w:type="dxa"/>
              <w:bottom w:w="100" w:type="dxa"/>
              <w:right w:w="100" w:type="dxa"/>
            </w:tcMar>
          </w:tcPr>
          <w:p w14:paraId="1052F9D1" w14:textId="77777777" w:rsidR="006E40C8" w:rsidRDefault="006E40C8" w:rsidP="008F4576">
            <w:pPr>
              <w:widowControl w:val="0"/>
              <w:rPr>
                <w:sz w:val="20"/>
                <w:szCs w:val="20"/>
              </w:rPr>
            </w:pPr>
            <w:r>
              <w:rPr>
                <w:b/>
                <w:sz w:val="20"/>
                <w:szCs w:val="20"/>
              </w:rPr>
              <w:t>2.2.</w:t>
            </w:r>
            <w:r>
              <w:rPr>
                <w:sz w:val="20"/>
                <w:szCs w:val="20"/>
              </w:rPr>
              <w:t xml:space="preserve"> 30 million more people, of which 50% are women, meeting minimum dietary energy requirements</w:t>
            </w:r>
          </w:p>
        </w:tc>
        <w:tc>
          <w:tcPr>
            <w:tcW w:w="5245" w:type="dxa"/>
            <w:tcMar>
              <w:top w:w="100" w:type="dxa"/>
              <w:left w:w="100" w:type="dxa"/>
              <w:bottom w:w="100" w:type="dxa"/>
              <w:right w:w="100" w:type="dxa"/>
            </w:tcMar>
          </w:tcPr>
          <w:p w14:paraId="4EEF7FFF" w14:textId="77777777" w:rsidR="007E4049" w:rsidRDefault="007E4049" w:rsidP="008F4576">
            <w:pPr>
              <w:widowControl w:val="0"/>
              <w:rPr>
                <w:rFonts w:asciiTheme="minorHAnsi" w:hAnsiTheme="minorHAnsi" w:cstheme="minorHAnsi"/>
                <w:sz w:val="20"/>
                <w:szCs w:val="20"/>
              </w:rPr>
            </w:pPr>
          </w:p>
          <w:p w14:paraId="5A468304" w14:textId="67D1E5FF" w:rsidR="007E4049" w:rsidRPr="00FD6E57" w:rsidRDefault="007E4049" w:rsidP="008F4576">
            <w:pPr>
              <w:widowControl w:val="0"/>
              <w:rPr>
                <w:color w:val="000099"/>
                <w:sz w:val="20"/>
                <w:szCs w:val="20"/>
              </w:rPr>
            </w:pPr>
          </w:p>
        </w:tc>
        <w:tc>
          <w:tcPr>
            <w:tcW w:w="3660" w:type="dxa"/>
          </w:tcPr>
          <w:p w14:paraId="5E1D2437" w14:textId="77777777" w:rsidR="006E40C8" w:rsidRDefault="006E40C8" w:rsidP="008F4576">
            <w:pPr>
              <w:widowControl w:val="0"/>
              <w:rPr>
                <w:color w:val="000099"/>
                <w:sz w:val="20"/>
                <w:szCs w:val="20"/>
              </w:rPr>
            </w:pPr>
          </w:p>
        </w:tc>
      </w:tr>
      <w:tr w:rsidR="006E40C8" w14:paraId="35FDFE11" w14:textId="77777777" w:rsidTr="008F4576">
        <w:trPr>
          <w:trHeight w:val="644"/>
          <w:jc w:val="center"/>
        </w:trPr>
        <w:tc>
          <w:tcPr>
            <w:tcW w:w="5585" w:type="dxa"/>
            <w:shd w:val="clear" w:color="auto" w:fill="FFF2CC"/>
            <w:tcMar>
              <w:top w:w="100" w:type="dxa"/>
              <w:left w:w="100" w:type="dxa"/>
              <w:bottom w:w="100" w:type="dxa"/>
              <w:right w:w="100" w:type="dxa"/>
            </w:tcMar>
          </w:tcPr>
          <w:p w14:paraId="5B5B1EEE" w14:textId="6B111BA1" w:rsidR="006E40C8" w:rsidRDefault="006E40C8" w:rsidP="008F4576">
            <w:pPr>
              <w:widowControl w:val="0"/>
              <w:rPr>
                <w:sz w:val="20"/>
                <w:szCs w:val="20"/>
              </w:rPr>
            </w:pPr>
            <w:r>
              <w:rPr>
                <w:b/>
                <w:sz w:val="20"/>
                <w:szCs w:val="20"/>
              </w:rPr>
              <w:t>2.3.</w:t>
            </w:r>
            <w:r>
              <w:rPr>
                <w:sz w:val="20"/>
                <w:szCs w:val="20"/>
              </w:rPr>
              <w:t xml:space="preserve"> 150 million more people, of which 50% are women, without deficiencies in one or more essential micronutrients</w:t>
            </w:r>
          </w:p>
        </w:tc>
        <w:tc>
          <w:tcPr>
            <w:tcW w:w="5245" w:type="dxa"/>
            <w:tcMar>
              <w:top w:w="100" w:type="dxa"/>
              <w:left w:w="100" w:type="dxa"/>
              <w:bottom w:w="100" w:type="dxa"/>
              <w:right w:w="100" w:type="dxa"/>
            </w:tcMar>
          </w:tcPr>
          <w:p w14:paraId="1A993BA1" w14:textId="77777777" w:rsidR="007E4049" w:rsidRDefault="007E4049" w:rsidP="007E4049">
            <w:pPr>
              <w:widowControl w:val="0"/>
              <w:rPr>
                <w:rFonts w:asciiTheme="minorHAnsi" w:hAnsiTheme="minorHAnsi" w:cstheme="minorHAnsi"/>
                <w:sz w:val="20"/>
                <w:szCs w:val="20"/>
              </w:rPr>
            </w:pPr>
            <w:r w:rsidRPr="00FD6E57">
              <w:rPr>
                <w:rFonts w:asciiTheme="minorHAnsi" w:hAnsiTheme="minorHAnsi" w:cstheme="minorHAnsi"/>
                <w:sz w:val="20"/>
                <w:szCs w:val="20"/>
              </w:rPr>
              <w:t>Biofortification with iron and zinc content has been mainstreamed across the crops as reflected in target traits of 15 outputs (FP4.2.2-chickpea, FP4.2.41-lentils, FP4.2.4, FP4.2.7 &amp; FP4.2.47-groundnut, FP4.2.52 &amp; FP4.2.57-pigeonpea, FP4.2.25 &amp; FP4.2.60-sorghum, FP4.2.29, FP4.2.31, FP4.2.32, FP4.2.44 &amp; FP4.2.45-pearl millets, FP4.2.38-finger millets). Biofortified varieties in sorghum (Parbhani Shakti in India), lentil (</w:t>
            </w:r>
            <w:proofErr w:type="spellStart"/>
            <w:r w:rsidRPr="00FD6E57">
              <w:rPr>
                <w:rFonts w:asciiTheme="minorHAnsi" w:hAnsiTheme="minorHAnsi" w:cstheme="minorHAnsi"/>
                <w:sz w:val="20"/>
                <w:szCs w:val="20"/>
              </w:rPr>
              <w:t>Barimasur</w:t>
            </w:r>
            <w:proofErr w:type="spellEnd"/>
            <w:r w:rsidRPr="00FD6E57">
              <w:rPr>
                <w:rFonts w:asciiTheme="minorHAnsi" w:hAnsiTheme="minorHAnsi" w:cstheme="minorHAnsi"/>
                <w:sz w:val="20"/>
                <w:szCs w:val="20"/>
              </w:rPr>
              <w:t xml:space="preserve"> 9 in Bangladesh and </w:t>
            </w:r>
            <w:proofErr w:type="spellStart"/>
            <w:r w:rsidRPr="00FD6E57">
              <w:rPr>
                <w:rFonts w:asciiTheme="minorHAnsi" w:hAnsiTheme="minorHAnsi" w:cstheme="minorHAnsi"/>
                <w:sz w:val="20"/>
                <w:szCs w:val="20"/>
              </w:rPr>
              <w:t>Khajuro</w:t>
            </w:r>
            <w:proofErr w:type="spellEnd"/>
            <w:r w:rsidRPr="00FD6E57">
              <w:rPr>
                <w:rFonts w:asciiTheme="minorHAnsi" w:hAnsiTheme="minorHAnsi" w:cstheme="minorHAnsi"/>
                <w:sz w:val="20"/>
                <w:szCs w:val="20"/>
              </w:rPr>
              <w:t xml:space="preserve"> </w:t>
            </w:r>
            <w:proofErr w:type="spellStart"/>
            <w:r w:rsidRPr="00FD6E57">
              <w:rPr>
                <w:rFonts w:asciiTheme="minorHAnsi" w:hAnsiTheme="minorHAnsi" w:cstheme="minorHAnsi"/>
                <w:sz w:val="20"/>
                <w:szCs w:val="20"/>
              </w:rPr>
              <w:t>Masuro</w:t>
            </w:r>
            <w:proofErr w:type="spellEnd"/>
            <w:r w:rsidRPr="00FD6E57">
              <w:rPr>
                <w:rFonts w:asciiTheme="minorHAnsi" w:hAnsiTheme="minorHAnsi" w:cstheme="minorHAnsi"/>
                <w:sz w:val="20"/>
                <w:szCs w:val="20"/>
              </w:rPr>
              <w:t xml:space="preserve"> 4 in Nepal), pearl millet (EUFM 403 in Kenya)</w:t>
            </w:r>
            <w:r>
              <w:rPr>
                <w:rFonts w:asciiTheme="minorHAnsi" w:hAnsiTheme="minorHAnsi" w:cstheme="minorHAnsi"/>
                <w:sz w:val="20"/>
                <w:szCs w:val="20"/>
              </w:rPr>
              <w:t xml:space="preserve"> were commercialized in 2018.</w:t>
            </w:r>
          </w:p>
          <w:p w14:paraId="5CDEB2FA" w14:textId="77777777" w:rsidR="007E4049" w:rsidRDefault="007E4049" w:rsidP="007E4049">
            <w:pPr>
              <w:widowControl w:val="0"/>
              <w:rPr>
                <w:rFonts w:asciiTheme="minorHAnsi" w:hAnsiTheme="minorHAnsi" w:cstheme="minorHAnsi"/>
                <w:sz w:val="20"/>
                <w:szCs w:val="20"/>
              </w:rPr>
            </w:pPr>
          </w:p>
          <w:p w14:paraId="191A2955" w14:textId="1BB06DA2" w:rsidR="007E4049" w:rsidRDefault="007E4049" w:rsidP="007E4049">
            <w:pPr>
              <w:widowControl w:val="0"/>
              <w:rPr>
                <w:rFonts w:asciiTheme="minorHAnsi" w:hAnsiTheme="minorHAnsi" w:cstheme="minorHAnsi"/>
                <w:sz w:val="20"/>
                <w:szCs w:val="20"/>
              </w:rPr>
            </w:pPr>
            <w:r>
              <w:rPr>
                <w:rFonts w:asciiTheme="minorHAnsi" w:hAnsiTheme="minorHAnsi" w:cstheme="minorHAnsi"/>
                <w:sz w:val="20"/>
                <w:szCs w:val="20"/>
              </w:rPr>
              <w:t>High Fe and Zn, high protein, high oil are some of the targeted nutritional quality traits.</w:t>
            </w:r>
          </w:p>
          <w:p w14:paraId="6474F371" w14:textId="77777777" w:rsidR="00EB16FA" w:rsidRDefault="00791397" w:rsidP="00EB16FA">
            <w:pPr>
              <w:rPr>
                <w:sz w:val="20"/>
                <w:szCs w:val="20"/>
              </w:rPr>
            </w:pPr>
            <w:hyperlink r:id="rId17" w:history="1">
              <w:r w:rsidR="00EB16FA" w:rsidRPr="003558D5">
                <w:rPr>
                  <w:rStyle w:val="Hyperlink"/>
                  <w:sz w:val="20"/>
                  <w:szCs w:val="20"/>
                </w:rPr>
                <w:t>https://mel.cgiar.org/preplanning/relatedfiles/id/482/entity/actionsite</w:t>
              </w:r>
            </w:hyperlink>
          </w:p>
          <w:p w14:paraId="51BE6D39" w14:textId="77777777" w:rsidR="006E40C8" w:rsidRDefault="006E40C8" w:rsidP="008F4576">
            <w:pPr>
              <w:widowControl w:val="0"/>
              <w:rPr>
                <w:color w:val="000099"/>
                <w:sz w:val="20"/>
                <w:szCs w:val="20"/>
              </w:rPr>
            </w:pPr>
          </w:p>
        </w:tc>
        <w:tc>
          <w:tcPr>
            <w:tcW w:w="3660" w:type="dxa"/>
          </w:tcPr>
          <w:p w14:paraId="1170F89B" w14:textId="77777777" w:rsidR="006E40C8" w:rsidRDefault="006E40C8" w:rsidP="008F4576">
            <w:pPr>
              <w:widowControl w:val="0"/>
              <w:rPr>
                <w:color w:val="000099"/>
                <w:sz w:val="20"/>
                <w:szCs w:val="20"/>
              </w:rPr>
            </w:pPr>
          </w:p>
        </w:tc>
      </w:tr>
      <w:tr w:rsidR="006E40C8" w14:paraId="33F9FF88" w14:textId="77777777" w:rsidTr="008F4576">
        <w:trPr>
          <w:trHeight w:val="580"/>
          <w:jc w:val="center"/>
        </w:trPr>
        <w:tc>
          <w:tcPr>
            <w:tcW w:w="5585" w:type="dxa"/>
            <w:shd w:val="clear" w:color="auto" w:fill="FFF2CC"/>
            <w:tcMar>
              <w:top w:w="100" w:type="dxa"/>
              <w:left w:w="100" w:type="dxa"/>
              <w:bottom w:w="100" w:type="dxa"/>
              <w:right w:w="100" w:type="dxa"/>
            </w:tcMar>
          </w:tcPr>
          <w:p w14:paraId="6C08AF02" w14:textId="7E297FD6" w:rsidR="006E40C8" w:rsidRDefault="006E40C8" w:rsidP="008F4576">
            <w:pPr>
              <w:widowControl w:val="0"/>
              <w:rPr>
                <w:sz w:val="20"/>
                <w:szCs w:val="20"/>
              </w:rPr>
            </w:pPr>
            <w:r>
              <w:rPr>
                <w:b/>
                <w:sz w:val="20"/>
                <w:szCs w:val="20"/>
              </w:rPr>
              <w:lastRenderedPageBreak/>
              <w:t>3.1.</w:t>
            </w:r>
            <w:r>
              <w:rPr>
                <w:sz w:val="20"/>
                <w:szCs w:val="20"/>
              </w:rPr>
              <w:t xml:space="preserve"> 5% increase in water and nutrient efficiency in agroecosystems </w:t>
            </w:r>
          </w:p>
        </w:tc>
        <w:tc>
          <w:tcPr>
            <w:tcW w:w="5245" w:type="dxa"/>
            <w:tcMar>
              <w:top w:w="100" w:type="dxa"/>
              <w:left w:w="100" w:type="dxa"/>
              <w:bottom w:w="100" w:type="dxa"/>
              <w:right w:w="100" w:type="dxa"/>
            </w:tcMar>
          </w:tcPr>
          <w:p w14:paraId="47F2601F" w14:textId="08148E92" w:rsidR="007E4049" w:rsidRPr="007E4049" w:rsidRDefault="007E4049" w:rsidP="008F4576">
            <w:pPr>
              <w:widowControl w:val="0"/>
              <w:rPr>
                <w:sz w:val="20"/>
                <w:szCs w:val="20"/>
              </w:rPr>
            </w:pPr>
            <w:r w:rsidRPr="007E4049">
              <w:rPr>
                <w:rFonts w:asciiTheme="minorHAnsi" w:hAnsiTheme="minorHAnsi" w:cstheme="minorHAnsi"/>
                <w:sz w:val="20"/>
                <w:szCs w:val="20"/>
              </w:rPr>
              <w:t>Achievements from 17 research activities have climate change relevance as these activities dealt with development of breeding material with tolerance to heat, drought, waterlogging and shot duration in target crops.</w:t>
            </w:r>
          </w:p>
          <w:p w14:paraId="385E67B8" w14:textId="77777777" w:rsidR="007E4049" w:rsidRDefault="007E4049" w:rsidP="008F4576">
            <w:pPr>
              <w:widowControl w:val="0"/>
              <w:rPr>
                <w:sz w:val="20"/>
                <w:szCs w:val="20"/>
              </w:rPr>
            </w:pPr>
          </w:p>
          <w:p w14:paraId="0AF96203" w14:textId="77777777" w:rsidR="006E40C8" w:rsidRDefault="007E4049" w:rsidP="008F4576">
            <w:pPr>
              <w:widowControl w:val="0"/>
              <w:rPr>
                <w:sz w:val="20"/>
                <w:szCs w:val="20"/>
              </w:rPr>
            </w:pPr>
            <w:r w:rsidRPr="007E4049">
              <w:rPr>
                <w:sz w:val="20"/>
                <w:szCs w:val="20"/>
              </w:rPr>
              <w:t xml:space="preserve">Adaptation of GLDC crop cultivars to water deficit stress is key target and thus expansion of cultivation of new water deficit stress adapted varieties contributes to increased water use efficiency. </w:t>
            </w:r>
          </w:p>
          <w:p w14:paraId="75AC1941" w14:textId="77777777" w:rsidR="00EB16FA" w:rsidRDefault="00EB16FA" w:rsidP="008F4576">
            <w:pPr>
              <w:widowControl w:val="0"/>
              <w:rPr>
                <w:sz w:val="20"/>
                <w:szCs w:val="20"/>
              </w:rPr>
            </w:pPr>
          </w:p>
          <w:p w14:paraId="1C31B3AE" w14:textId="77777777" w:rsidR="004638C5" w:rsidRDefault="004638C5" w:rsidP="008F4576">
            <w:pPr>
              <w:widowControl w:val="0"/>
              <w:rPr>
                <w:sz w:val="20"/>
                <w:szCs w:val="20"/>
              </w:rPr>
            </w:pPr>
          </w:p>
          <w:p w14:paraId="6651BF55" w14:textId="77777777" w:rsidR="00EB16FA" w:rsidRDefault="00791397" w:rsidP="00EB16FA">
            <w:pPr>
              <w:rPr>
                <w:sz w:val="20"/>
                <w:szCs w:val="20"/>
              </w:rPr>
            </w:pPr>
            <w:hyperlink r:id="rId18" w:history="1">
              <w:r w:rsidR="00EB16FA" w:rsidRPr="003558D5">
                <w:rPr>
                  <w:rStyle w:val="Hyperlink"/>
                  <w:sz w:val="20"/>
                  <w:szCs w:val="20"/>
                </w:rPr>
                <w:t>https://mel.cgiar.org/preplanning/relatedfiles/id/482/entity/actionsite</w:t>
              </w:r>
            </w:hyperlink>
          </w:p>
          <w:p w14:paraId="39C6E298" w14:textId="77777777" w:rsidR="004638C5" w:rsidRPr="005F62AA" w:rsidRDefault="004638C5" w:rsidP="004638C5">
            <w:pPr>
              <w:rPr>
                <w:sz w:val="20"/>
                <w:szCs w:val="20"/>
              </w:rPr>
            </w:pPr>
          </w:p>
          <w:p w14:paraId="242EE1F4" w14:textId="72122E8B" w:rsidR="004638C5" w:rsidRPr="007E4049" w:rsidRDefault="004638C5" w:rsidP="00EB16FA">
            <w:pPr>
              <w:rPr>
                <w:sz w:val="20"/>
                <w:szCs w:val="20"/>
              </w:rPr>
            </w:pPr>
          </w:p>
        </w:tc>
        <w:tc>
          <w:tcPr>
            <w:tcW w:w="3660" w:type="dxa"/>
          </w:tcPr>
          <w:p w14:paraId="359F1BCB" w14:textId="09022940" w:rsidR="006E40C8" w:rsidRPr="00BF3C3D" w:rsidRDefault="007E4049" w:rsidP="00BF3C3D">
            <w:pPr>
              <w:widowControl w:val="0"/>
              <w:rPr>
                <w:sz w:val="20"/>
                <w:szCs w:val="20"/>
              </w:rPr>
            </w:pPr>
            <w:r w:rsidRPr="00BF3C3D">
              <w:rPr>
                <w:sz w:val="20"/>
                <w:szCs w:val="20"/>
              </w:rPr>
              <w:t xml:space="preserve">Nutrient use efficiency is targeted in </w:t>
            </w:r>
            <w:r w:rsidR="00BF3C3D" w:rsidRPr="00BF3C3D">
              <w:rPr>
                <w:sz w:val="20"/>
                <w:szCs w:val="20"/>
              </w:rPr>
              <w:t xml:space="preserve">some of the GLDC </w:t>
            </w:r>
            <w:r w:rsidRPr="00BF3C3D">
              <w:rPr>
                <w:sz w:val="20"/>
                <w:szCs w:val="20"/>
              </w:rPr>
              <w:t>crops and commercialization of products can be expected.</w:t>
            </w:r>
          </w:p>
        </w:tc>
      </w:tr>
      <w:tr w:rsidR="006E40C8" w14:paraId="54FB1078" w14:textId="77777777" w:rsidTr="008F4576">
        <w:trPr>
          <w:trHeight w:val="524"/>
          <w:jc w:val="center"/>
        </w:trPr>
        <w:tc>
          <w:tcPr>
            <w:tcW w:w="5585" w:type="dxa"/>
            <w:shd w:val="clear" w:color="auto" w:fill="FFF2CC"/>
            <w:tcMar>
              <w:top w:w="100" w:type="dxa"/>
              <w:left w:w="100" w:type="dxa"/>
              <w:bottom w:w="100" w:type="dxa"/>
              <w:right w:w="100" w:type="dxa"/>
            </w:tcMar>
          </w:tcPr>
          <w:p w14:paraId="18CCD482" w14:textId="77777777" w:rsidR="006E40C8" w:rsidRDefault="006E40C8" w:rsidP="008F4576">
            <w:pPr>
              <w:widowControl w:val="0"/>
              <w:rPr>
                <w:sz w:val="20"/>
                <w:szCs w:val="20"/>
              </w:rPr>
            </w:pPr>
            <w:r>
              <w:rPr>
                <w:b/>
                <w:sz w:val="20"/>
                <w:szCs w:val="20"/>
              </w:rPr>
              <w:t>3.2.</w:t>
            </w:r>
            <w:r>
              <w:rPr>
                <w:sz w:val="20"/>
                <w:szCs w:val="20"/>
              </w:rPr>
              <w:t xml:space="preserve"> Reduction in ‘agriculturally’-related greenhouse gas emissions by 5% </w:t>
            </w:r>
          </w:p>
        </w:tc>
        <w:tc>
          <w:tcPr>
            <w:tcW w:w="5245" w:type="dxa"/>
            <w:tcMar>
              <w:top w:w="100" w:type="dxa"/>
              <w:left w:w="100" w:type="dxa"/>
              <w:bottom w:w="100" w:type="dxa"/>
              <w:right w:w="100" w:type="dxa"/>
            </w:tcMar>
          </w:tcPr>
          <w:p w14:paraId="05013960" w14:textId="77777777" w:rsidR="006E40C8" w:rsidRDefault="006E40C8" w:rsidP="008F4576">
            <w:pPr>
              <w:widowControl w:val="0"/>
              <w:rPr>
                <w:color w:val="000099"/>
                <w:sz w:val="20"/>
                <w:szCs w:val="20"/>
              </w:rPr>
            </w:pPr>
          </w:p>
        </w:tc>
        <w:tc>
          <w:tcPr>
            <w:tcW w:w="3660" w:type="dxa"/>
          </w:tcPr>
          <w:p w14:paraId="1B02C98E" w14:textId="77777777" w:rsidR="006E40C8" w:rsidRDefault="006E40C8" w:rsidP="008F4576">
            <w:pPr>
              <w:widowControl w:val="0"/>
              <w:rPr>
                <w:color w:val="000099"/>
                <w:sz w:val="20"/>
                <w:szCs w:val="20"/>
              </w:rPr>
            </w:pPr>
          </w:p>
        </w:tc>
      </w:tr>
      <w:tr w:rsidR="006E40C8" w14:paraId="33DE0992" w14:textId="77777777" w:rsidTr="008F4576">
        <w:trPr>
          <w:trHeight w:val="306"/>
          <w:jc w:val="center"/>
        </w:trPr>
        <w:tc>
          <w:tcPr>
            <w:tcW w:w="5585" w:type="dxa"/>
            <w:shd w:val="clear" w:color="auto" w:fill="FFF2CC"/>
            <w:tcMar>
              <w:top w:w="100" w:type="dxa"/>
              <w:left w:w="100" w:type="dxa"/>
              <w:bottom w:w="100" w:type="dxa"/>
              <w:right w:w="100" w:type="dxa"/>
            </w:tcMar>
          </w:tcPr>
          <w:p w14:paraId="3EB3BB2A" w14:textId="77777777" w:rsidR="006E40C8" w:rsidRDefault="006E40C8" w:rsidP="008F4576">
            <w:pPr>
              <w:widowControl w:val="0"/>
              <w:rPr>
                <w:sz w:val="20"/>
                <w:szCs w:val="20"/>
              </w:rPr>
            </w:pPr>
            <w:r>
              <w:rPr>
                <w:b/>
                <w:sz w:val="20"/>
                <w:szCs w:val="20"/>
              </w:rPr>
              <w:t>3.3.</w:t>
            </w:r>
            <w:r>
              <w:rPr>
                <w:sz w:val="20"/>
                <w:szCs w:val="20"/>
              </w:rPr>
              <w:t xml:space="preserve"> 55 M ha degraded land area restored</w:t>
            </w:r>
          </w:p>
        </w:tc>
        <w:tc>
          <w:tcPr>
            <w:tcW w:w="5245" w:type="dxa"/>
            <w:tcMar>
              <w:top w:w="100" w:type="dxa"/>
              <w:left w:w="100" w:type="dxa"/>
              <w:bottom w:w="100" w:type="dxa"/>
              <w:right w:w="100" w:type="dxa"/>
            </w:tcMar>
          </w:tcPr>
          <w:p w14:paraId="101FFF7F" w14:textId="77777777" w:rsidR="006E40C8" w:rsidRDefault="006E40C8" w:rsidP="008F4576">
            <w:pPr>
              <w:widowControl w:val="0"/>
              <w:rPr>
                <w:color w:val="000099"/>
                <w:sz w:val="20"/>
                <w:szCs w:val="20"/>
              </w:rPr>
            </w:pPr>
          </w:p>
        </w:tc>
        <w:tc>
          <w:tcPr>
            <w:tcW w:w="3660" w:type="dxa"/>
          </w:tcPr>
          <w:p w14:paraId="36995852" w14:textId="77777777" w:rsidR="006E40C8" w:rsidRDefault="006E40C8" w:rsidP="008F4576">
            <w:pPr>
              <w:widowControl w:val="0"/>
              <w:rPr>
                <w:color w:val="000099"/>
                <w:sz w:val="20"/>
                <w:szCs w:val="20"/>
              </w:rPr>
            </w:pPr>
          </w:p>
        </w:tc>
      </w:tr>
      <w:tr w:rsidR="006E40C8" w14:paraId="74FBE449" w14:textId="77777777" w:rsidTr="008F4576">
        <w:trPr>
          <w:trHeight w:val="20"/>
          <w:jc w:val="center"/>
        </w:trPr>
        <w:tc>
          <w:tcPr>
            <w:tcW w:w="5585" w:type="dxa"/>
            <w:shd w:val="clear" w:color="auto" w:fill="FFF2CC"/>
            <w:tcMar>
              <w:top w:w="100" w:type="dxa"/>
              <w:left w:w="100" w:type="dxa"/>
              <w:bottom w:w="100" w:type="dxa"/>
              <w:right w:w="100" w:type="dxa"/>
            </w:tcMar>
          </w:tcPr>
          <w:p w14:paraId="68220053" w14:textId="77777777" w:rsidR="006E40C8" w:rsidRDefault="006E40C8" w:rsidP="008F4576">
            <w:pPr>
              <w:widowControl w:val="0"/>
              <w:rPr>
                <w:sz w:val="20"/>
                <w:szCs w:val="20"/>
              </w:rPr>
            </w:pPr>
            <w:r>
              <w:rPr>
                <w:b/>
                <w:sz w:val="20"/>
                <w:szCs w:val="20"/>
              </w:rPr>
              <w:t>3.4.</w:t>
            </w:r>
            <w:r>
              <w:rPr>
                <w:sz w:val="20"/>
                <w:szCs w:val="20"/>
              </w:rPr>
              <w:t xml:space="preserve"> 2.5 M ha forest saved from deforestation</w:t>
            </w:r>
          </w:p>
        </w:tc>
        <w:tc>
          <w:tcPr>
            <w:tcW w:w="5245" w:type="dxa"/>
            <w:tcMar>
              <w:top w:w="100" w:type="dxa"/>
              <w:left w:w="100" w:type="dxa"/>
              <w:bottom w:w="100" w:type="dxa"/>
              <w:right w:w="100" w:type="dxa"/>
            </w:tcMar>
          </w:tcPr>
          <w:p w14:paraId="7B736BA2" w14:textId="77777777" w:rsidR="006E40C8" w:rsidRDefault="006E40C8" w:rsidP="008F4576">
            <w:pPr>
              <w:widowControl w:val="0"/>
              <w:rPr>
                <w:color w:val="000099"/>
                <w:sz w:val="20"/>
                <w:szCs w:val="20"/>
              </w:rPr>
            </w:pPr>
          </w:p>
        </w:tc>
        <w:tc>
          <w:tcPr>
            <w:tcW w:w="3660" w:type="dxa"/>
          </w:tcPr>
          <w:p w14:paraId="15F50CE2" w14:textId="77777777" w:rsidR="006E40C8" w:rsidRDefault="006E40C8" w:rsidP="008F4576">
            <w:pPr>
              <w:widowControl w:val="0"/>
              <w:rPr>
                <w:color w:val="000099"/>
                <w:sz w:val="20"/>
                <w:szCs w:val="20"/>
              </w:rPr>
            </w:pPr>
          </w:p>
        </w:tc>
      </w:tr>
    </w:tbl>
    <w:p w14:paraId="69590FC8" w14:textId="77777777" w:rsidR="006E40C8" w:rsidRPr="00413F1B" w:rsidRDefault="006E40C8" w:rsidP="006E40C8">
      <w:pPr>
        <w:pStyle w:val="Heading1"/>
        <w:rPr>
          <w:color w:val="BFBFBF" w:themeColor="background1" w:themeShade="BF"/>
          <w:sz w:val="24"/>
        </w:rPr>
      </w:pPr>
      <w:bookmarkStart w:id="28" w:name="_2lwamvv" w:colFirst="0" w:colLast="0"/>
      <w:bookmarkStart w:id="29" w:name="_Toc531191908"/>
      <w:bookmarkStart w:id="30" w:name="_Ref531211952"/>
      <w:bookmarkStart w:id="31" w:name="_Ref531211956"/>
      <w:bookmarkStart w:id="32" w:name="_Toc531264774"/>
      <w:bookmarkStart w:id="33" w:name="_Hlk531117307"/>
      <w:bookmarkEnd w:id="28"/>
      <w:r w:rsidRPr="00413F1B">
        <w:rPr>
          <w:color w:val="BFBFBF" w:themeColor="background1" w:themeShade="BF"/>
          <w:sz w:val="24"/>
        </w:rPr>
        <w:t xml:space="preserve">Table </w:t>
      </w:r>
      <w:r>
        <w:rPr>
          <w:color w:val="BFBFBF" w:themeColor="background1" w:themeShade="BF"/>
          <w:sz w:val="24"/>
        </w:rPr>
        <w:t>3</w:t>
      </w:r>
      <w:r w:rsidRPr="00413F1B">
        <w:rPr>
          <w:color w:val="BFBFBF" w:themeColor="background1" w:themeShade="BF"/>
          <w:sz w:val="24"/>
        </w:rPr>
        <w:t>: Condensed list of policy contributions</w:t>
      </w:r>
      <w:bookmarkEnd w:id="29"/>
      <w:bookmarkEnd w:id="30"/>
      <w:bookmarkEnd w:id="31"/>
      <w:r w:rsidRPr="00413F1B">
        <w:rPr>
          <w:color w:val="BFBFBF" w:themeColor="background1" w:themeShade="BF"/>
          <w:sz w:val="24"/>
        </w:rPr>
        <w:t xml:space="preserve"> in this reporting year (Sphere of Influence)</w:t>
      </w:r>
      <w:bookmarkEnd w:id="32"/>
    </w:p>
    <w:p w14:paraId="18BF662B" w14:textId="77777777" w:rsidR="006E40C8" w:rsidRDefault="006E40C8" w:rsidP="006E40C8">
      <w:pPr>
        <w:ind w:right="101"/>
        <w:jc w:val="both"/>
        <w:rPr>
          <w:color w:val="9900FF"/>
        </w:rPr>
      </w:pPr>
      <w:r>
        <w:t>[</w:t>
      </w:r>
      <w:r w:rsidRPr="00CE2C70">
        <w:t xml:space="preserve">Please </w:t>
      </w:r>
      <w:r>
        <w:t xml:space="preserve">list policy contributions here.  (Please see the </w:t>
      </w:r>
      <w:hyperlink r:id="rId19">
        <w:r>
          <w:rPr>
            <w:color w:val="1155CC"/>
            <w:u w:val="single"/>
          </w:rPr>
          <w:t>indicator guidance</w:t>
        </w:r>
      </w:hyperlink>
      <w:r>
        <w:t xml:space="preserve">  for indicator #I1 number of policies which also includes an explanation of what is covered under the term ‘policy’.)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68"/>
        <w:gridCol w:w="1205"/>
        <w:gridCol w:w="1191"/>
        <w:gridCol w:w="1069"/>
        <w:gridCol w:w="1472"/>
        <w:gridCol w:w="1069"/>
        <w:gridCol w:w="907"/>
        <w:gridCol w:w="907"/>
        <w:gridCol w:w="908"/>
        <w:gridCol w:w="908"/>
        <w:gridCol w:w="1172"/>
      </w:tblGrid>
      <w:tr w:rsidR="00DF5088" w14:paraId="6EB5F91D" w14:textId="77777777" w:rsidTr="008F4576">
        <w:trPr>
          <w:trHeight w:val="420"/>
        </w:trPr>
        <w:tc>
          <w:tcPr>
            <w:tcW w:w="1201" w:type="pct"/>
            <w:tcBorders>
              <w:top w:val="single" w:sz="6" w:space="0" w:color="000000"/>
              <w:left w:val="single" w:sz="6" w:space="0" w:color="000000"/>
              <w:bottom w:val="single" w:sz="12" w:space="0" w:color="000000"/>
              <w:right w:val="single" w:sz="6" w:space="0" w:color="000000"/>
            </w:tcBorders>
            <w:shd w:val="clear" w:color="auto" w:fill="D9E2F3"/>
          </w:tcPr>
          <w:p w14:paraId="01BF326D" w14:textId="77777777" w:rsidR="006E40C8" w:rsidRPr="00F45CE6" w:rsidRDefault="006E40C8" w:rsidP="008F4576">
            <w:pPr>
              <w:rPr>
                <w:b/>
                <w:sz w:val="20"/>
                <w:szCs w:val="20"/>
              </w:rPr>
            </w:pPr>
            <w:r w:rsidRPr="00F45CE6">
              <w:rPr>
                <w:b/>
                <w:sz w:val="20"/>
                <w:szCs w:val="20"/>
              </w:rPr>
              <w:t>Column 1</w:t>
            </w:r>
          </w:p>
        </w:tc>
        <w:tc>
          <w:tcPr>
            <w:tcW w:w="438" w:type="pct"/>
            <w:tcBorders>
              <w:top w:val="single" w:sz="6" w:space="0" w:color="000000"/>
              <w:left w:val="single" w:sz="6" w:space="0" w:color="000000"/>
              <w:bottom w:val="single" w:sz="12" w:space="0" w:color="000000"/>
              <w:right w:val="single" w:sz="6" w:space="0" w:color="000000"/>
            </w:tcBorders>
          </w:tcPr>
          <w:p w14:paraId="1EFE38EC" w14:textId="77777777" w:rsidR="006E40C8" w:rsidRPr="00F45CE6" w:rsidRDefault="006E40C8" w:rsidP="008F4576">
            <w:pPr>
              <w:rPr>
                <w:sz w:val="20"/>
                <w:szCs w:val="20"/>
              </w:rPr>
            </w:pPr>
            <w:r>
              <w:rPr>
                <w:sz w:val="20"/>
                <w:szCs w:val="20"/>
              </w:rPr>
              <w:t>Type</w:t>
            </w:r>
          </w:p>
        </w:tc>
        <w:tc>
          <w:tcPr>
            <w:tcW w:w="433" w:type="pct"/>
            <w:tcBorders>
              <w:top w:val="single" w:sz="6" w:space="0" w:color="000000"/>
              <w:left w:val="single" w:sz="6" w:space="0" w:color="000000"/>
              <w:bottom w:val="single" w:sz="12" w:space="0" w:color="000000"/>
              <w:right w:val="single" w:sz="6" w:space="0" w:color="000000"/>
            </w:tcBorders>
          </w:tcPr>
          <w:p w14:paraId="19DA677E" w14:textId="77777777" w:rsidR="006E40C8" w:rsidRPr="00F45CE6" w:rsidRDefault="006E40C8" w:rsidP="008F4576">
            <w:pPr>
              <w:rPr>
                <w:sz w:val="20"/>
                <w:szCs w:val="20"/>
              </w:rPr>
            </w:pPr>
            <w:r>
              <w:rPr>
                <w:sz w:val="20"/>
                <w:szCs w:val="20"/>
              </w:rPr>
              <w:t>Whose policy is this?</w:t>
            </w:r>
          </w:p>
        </w:tc>
        <w:tc>
          <w:tcPr>
            <w:tcW w:w="390" w:type="pct"/>
            <w:tcBorders>
              <w:top w:val="single" w:sz="6" w:space="0" w:color="000000"/>
              <w:left w:val="single" w:sz="6" w:space="0" w:color="000000"/>
              <w:bottom w:val="single" w:sz="12" w:space="0" w:color="000000"/>
              <w:right w:val="single" w:sz="6" w:space="0" w:color="000000"/>
            </w:tcBorders>
          </w:tcPr>
          <w:p w14:paraId="6AC10844" w14:textId="77777777" w:rsidR="006E40C8" w:rsidRPr="00F45CE6" w:rsidRDefault="006E40C8" w:rsidP="008F4576">
            <w:pPr>
              <w:rPr>
                <w:sz w:val="20"/>
                <w:szCs w:val="20"/>
              </w:rPr>
            </w:pPr>
            <w:r>
              <w:rPr>
                <w:sz w:val="20"/>
                <w:szCs w:val="20"/>
              </w:rPr>
              <w:t>Geo Scope</w:t>
            </w:r>
          </w:p>
        </w:tc>
        <w:tc>
          <w:tcPr>
            <w:tcW w:w="390" w:type="pct"/>
            <w:tcBorders>
              <w:top w:val="single" w:sz="6" w:space="0" w:color="000000"/>
              <w:left w:val="single" w:sz="6" w:space="0" w:color="000000"/>
              <w:bottom w:val="single" w:sz="12" w:space="0" w:color="000000"/>
              <w:right w:val="single" w:sz="6" w:space="0" w:color="000000"/>
            </w:tcBorders>
          </w:tcPr>
          <w:p w14:paraId="0A66FB16" w14:textId="77777777" w:rsidR="006E40C8" w:rsidRPr="00F45CE6" w:rsidRDefault="006E40C8" w:rsidP="008F4576">
            <w:pPr>
              <w:rPr>
                <w:sz w:val="20"/>
                <w:szCs w:val="20"/>
              </w:rPr>
            </w:pPr>
            <w:r w:rsidRPr="00F45CE6">
              <w:rPr>
                <w:sz w:val="20"/>
                <w:szCs w:val="20"/>
              </w:rPr>
              <w:t>Column 2</w:t>
            </w:r>
          </w:p>
        </w:tc>
        <w:tc>
          <w:tcPr>
            <w:tcW w:w="390" w:type="pct"/>
            <w:tcBorders>
              <w:top w:val="single" w:sz="6" w:space="0" w:color="000000"/>
              <w:left w:val="single" w:sz="6" w:space="0" w:color="000000"/>
              <w:bottom w:val="single" w:sz="12" w:space="0" w:color="000000"/>
              <w:right w:val="single" w:sz="6" w:space="0" w:color="000000"/>
            </w:tcBorders>
          </w:tcPr>
          <w:p w14:paraId="2BBB416D" w14:textId="77777777" w:rsidR="006E40C8" w:rsidRPr="00F45CE6" w:rsidRDefault="006E40C8" w:rsidP="008F4576">
            <w:pPr>
              <w:rPr>
                <w:sz w:val="20"/>
                <w:szCs w:val="20"/>
              </w:rPr>
            </w:pPr>
            <w:r w:rsidRPr="00F45CE6">
              <w:rPr>
                <w:sz w:val="20"/>
                <w:szCs w:val="20"/>
              </w:rPr>
              <w:t>Column 3</w:t>
            </w:r>
          </w:p>
        </w:tc>
        <w:tc>
          <w:tcPr>
            <w:tcW w:w="333" w:type="pct"/>
            <w:tcBorders>
              <w:top w:val="single" w:sz="6" w:space="0" w:color="000000"/>
              <w:left w:val="single" w:sz="6" w:space="0" w:color="000000"/>
              <w:bottom w:val="single" w:sz="12" w:space="0" w:color="000000"/>
              <w:right w:val="single" w:sz="6" w:space="0" w:color="000000"/>
            </w:tcBorders>
          </w:tcPr>
          <w:p w14:paraId="49C9C28C" w14:textId="77777777" w:rsidR="006E40C8" w:rsidRPr="00F45CE6" w:rsidRDefault="006E40C8" w:rsidP="008F4576">
            <w:pPr>
              <w:rPr>
                <w:sz w:val="20"/>
                <w:szCs w:val="20"/>
              </w:rPr>
            </w:pPr>
            <w:r w:rsidRPr="00F45CE6">
              <w:rPr>
                <w:sz w:val="20"/>
                <w:szCs w:val="20"/>
              </w:rPr>
              <w:t>Column 4a</w:t>
            </w:r>
          </w:p>
        </w:tc>
        <w:tc>
          <w:tcPr>
            <w:tcW w:w="333" w:type="pct"/>
            <w:tcBorders>
              <w:top w:val="single" w:sz="6" w:space="0" w:color="000000"/>
              <w:left w:val="single" w:sz="6" w:space="0" w:color="000000"/>
              <w:bottom w:val="single" w:sz="12" w:space="0" w:color="000000"/>
              <w:right w:val="single" w:sz="6" w:space="0" w:color="000000"/>
            </w:tcBorders>
          </w:tcPr>
          <w:p w14:paraId="5C39476E" w14:textId="77777777" w:rsidR="006E40C8" w:rsidRPr="00F45CE6" w:rsidRDefault="006E40C8" w:rsidP="008F4576">
            <w:pPr>
              <w:rPr>
                <w:sz w:val="20"/>
                <w:szCs w:val="20"/>
              </w:rPr>
            </w:pPr>
            <w:r w:rsidRPr="00F45CE6">
              <w:rPr>
                <w:sz w:val="20"/>
                <w:szCs w:val="20"/>
              </w:rPr>
              <w:t>Column 4b</w:t>
            </w:r>
          </w:p>
        </w:tc>
        <w:tc>
          <w:tcPr>
            <w:tcW w:w="333" w:type="pct"/>
            <w:tcBorders>
              <w:top w:val="single" w:sz="6" w:space="0" w:color="000000"/>
              <w:left w:val="single" w:sz="6" w:space="0" w:color="000000"/>
              <w:bottom w:val="single" w:sz="12" w:space="0" w:color="000000"/>
              <w:right w:val="single" w:sz="6" w:space="0" w:color="000000"/>
            </w:tcBorders>
          </w:tcPr>
          <w:p w14:paraId="1C76273F" w14:textId="77777777" w:rsidR="006E40C8" w:rsidRPr="00F45CE6" w:rsidRDefault="006E40C8" w:rsidP="008F4576">
            <w:pPr>
              <w:rPr>
                <w:sz w:val="20"/>
                <w:szCs w:val="20"/>
              </w:rPr>
            </w:pPr>
            <w:r w:rsidRPr="00F45CE6">
              <w:rPr>
                <w:sz w:val="20"/>
                <w:szCs w:val="20"/>
              </w:rPr>
              <w:t>Column 4c</w:t>
            </w:r>
          </w:p>
        </w:tc>
        <w:tc>
          <w:tcPr>
            <w:tcW w:w="333" w:type="pct"/>
            <w:tcBorders>
              <w:top w:val="single" w:sz="6" w:space="0" w:color="000000"/>
              <w:left w:val="single" w:sz="6" w:space="0" w:color="000000"/>
              <w:bottom w:val="single" w:sz="12" w:space="0" w:color="000000"/>
              <w:right w:val="single" w:sz="6" w:space="0" w:color="000000"/>
            </w:tcBorders>
          </w:tcPr>
          <w:p w14:paraId="7BCC5F05" w14:textId="77777777" w:rsidR="006E40C8" w:rsidRPr="00F45CE6" w:rsidRDefault="006E40C8" w:rsidP="008F4576">
            <w:pPr>
              <w:rPr>
                <w:sz w:val="20"/>
                <w:szCs w:val="20"/>
              </w:rPr>
            </w:pPr>
            <w:r w:rsidRPr="00F45CE6">
              <w:rPr>
                <w:sz w:val="20"/>
                <w:szCs w:val="20"/>
              </w:rPr>
              <w:t>Column 4d</w:t>
            </w:r>
          </w:p>
        </w:tc>
        <w:tc>
          <w:tcPr>
            <w:tcW w:w="427" w:type="pct"/>
            <w:tcBorders>
              <w:top w:val="single" w:sz="6" w:space="0" w:color="000000"/>
              <w:left w:val="single" w:sz="6" w:space="0" w:color="000000"/>
              <w:right w:val="single" w:sz="6" w:space="0" w:color="000000"/>
            </w:tcBorders>
          </w:tcPr>
          <w:p w14:paraId="6A66396D" w14:textId="77777777" w:rsidR="006E40C8" w:rsidRPr="00F45CE6" w:rsidRDefault="006E40C8" w:rsidP="008F4576">
            <w:pPr>
              <w:rPr>
                <w:sz w:val="20"/>
                <w:szCs w:val="20"/>
              </w:rPr>
            </w:pPr>
            <w:r w:rsidRPr="00F45CE6">
              <w:rPr>
                <w:sz w:val="20"/>
                <w:szCs w:val="20"/>
              </w:rPr>
              <w:t>Column 4e</w:t>
            </w:r>
          </w:p>
        </w:tc>
      </w:tr>
      <w:tr w:rsidR="00DF5088" w14:paraId="04830C77" w14:textId="77777777" w:rsidTr="008F4576">
        <w:trPr>
          <w:trHeight w:val="700"/>
        </w:trPr>
        <w:tc>
          <w:tcPr>
            <w:tcW w:w="1201" w:type="pct"/>
            <w:vMerge w:val="restart"/>
            <w:tcBorders>
              <w:top w:val="single" w:sz="6" w:space="0" w:color="000000"/>
              <w:left w:val="single" w:sz="6" w:space="0" w:color="000000"/>
              <w:right w:val="single" w:sz="6" w:space="0" w:color="000000"/>
            </w:tcBorders>
            <w:shd w:val="clear" w:color="auto" w:fill="D9E2F3"/>
          </w:tcPr>
          <w:p w14:paraId="5622CAAA" w14:textId="77777777" w:rsidR="006E40C8" w:rsidRPr="00F45CE6" w:rsidRDefault="006E40C8" w:rsidP="008F4576">
            <w:pPr>
              <w:rPr>
                <w:sz w:val="20"/>
                <w:szCs w:val="20"/>
              </w:rPr>
            </w:pPr>
            <w:r w:rsidRPr="00F45CE6">
              <w:rPr>
                <w:sz w:val="20"/>
                <w:szCs w:val="20"/>
              </w:rPr>
              <w:t>Name and description of policy, legal instrument, investment or curriculum to which CGIAR contributed (20-50 words, ideally around 30 words)</w:t>
            </w:r>
          </w:p>
          <w:p w14:paraId="0FC5C2CA" w14:textId="77777777" w:rsidR="006E40C8" w:rsidRPr="00F45CE6" w:rsidRDefault="006E40C8" w:rsidP="008F4576">
            <w:pPr>
              <w:rPr>
                <w:sz w:val="20"/>
                <w:szCs w:val="20"/>
              </w:rPr>
            </w:pPr>
          </w:p>
          <w:p w14:paraId="30CE697E" w14:textId="77777777" w:rsidR="006E40C8" w:rsidRPr="00F45CE6" w:rsidRDefault="006E40C8" w:rsidP="008F4576">
            <w:pPr>
              <w:rPr>
                <w:i/>
                <w:sz w:val="20"/>
                <w:szCs w:val="20"/>
              </w:rPr>
            </w:pPr>
            <w:r w:rsidRPr="00F45CE6">
              <w:rPr>
                <w:i/>
                <w:sz w:val="20"/>
                <w:szCs w:val="20"/>
              </w:rPr>
              <w:t>Spell out acronyms in every row</w:t>
            </w:r>
          </w:p>
        </w:tc>
        <w:tc>
          <w:tcPr>
            <w:tcW w:w="438" w:type="pct"/>
            <w:tcBorders>
              <w:top w:val="single" w:sz="6" w:space="0" w:color="000000"/>
              <w:left w:val="single" w:sz="6" w:space="0" w:color="000000"/>
              <w:right w:val="single" w:sz="6" w:space="0" w:color="000000"/>
            </w:tcBorders>
          </w:tcPr>
          <w:p w14:paraId="79B1E3C2" w14:textId="77777777" w:rsidR="006E40C8" w:rsidRPr="00F45CE6" w:rsidRDefault="006E40C8" w:rsidP="008F4576">
            <w:pPr>
              <w:rPr>
                <w:sz w:val="20"/>
                <w:szCs w:val="20"/>
              </w:rPr>
            </w:pPr>
            <w:r>
              <w:rPr>
                <w:sz w:val="20"/>
                <w:szCs w:val="20"/>
              </w:rPr>
              <w:t xml:space="preserve">Define if a) Policy or Strategy, b) Legal Instrument, c)  Budget or </w:t>
            </w:r>
            <w:r>
              <w:rPr>
                <w:sz w:val="20"/>
                <w:szCs w:val="20"/>
              </w:rPr>
              <w:lastRenderedPageBreak/>
              <w:t>Investment d) curriculum</w:t>
            </w:r>
          </w:p>
        </w:tc>
        <w:tc>
          <w:tcPr>
            <w:tcW w:w="433" w:type="pct"/>
            <w:tcBorders>
              <w:top w:val="single" w:sz="6" w:space="0" w:color="000000"/>
              <w:left w:val="single" w:sz="6" w:space="0" w:color="000000"/>
              <w:right w:val="single" w:sz="6" w:space="0" w:color="000000"/>
            </w:tcBorders>
          </w:tcPr>
          <w:p w14:paraId="387B7347" w14:textId="77777777" w:rsidR="006E40C8" w:rsidRPr="00F45CE6" w:rsidRDefault="006E40C8" w:rsidP="008F4576">
            <w:pPr>
              <w:rPr>
                <w:sz w:val="20"/>
                <w:szCs w:val="20"/>
              </w:rPr>
            </w:pPr>
            <w:r>
              <w:rPr>
                <w:sz w:val="20"/>
                <w:szCs w:val="20"/>
              </w:rPr>
              <w:lastRenderedPageBreak/>
              <w:t>Specify if a) Funder, b) Public sector; c) Private Sector, d) Other…….</w:t>
            </w:r>
          </w:p>
        </w:tc>
        <w:tc>
          <w:tcPr>
            <w:tcW w:w="390" w:type="pct"/>
            <w:tcBorders>
              <w:top w:val="single" w:sz="6" w:space="0" w:color="000000"/>
              <w:left w:val="single" w:sz="6" w:space="0" w:color="000000"/>
              <w:right w:val="single" w:sz="6" w:space="0" w:color="000000"/>
            </w:tcBorders>
          </w:tcPr>
          <w:p w14:paraId="7302308C" w14:textId="77777777" w:rsidR="006E40C8" w:rsidRPr="00F45CE6" w:rsidRDefault="006E40C8" w:rsidP="008F4576">
            <w:pPr>
              <w:rPr>
                <w:sz w:val="20"/>
                <w:szCs w:val="20"/>
              </w:rPr>
            </w:pPr>
            <w:r>
              <w:rPr>
                <w:sz w:val="20"/>
                <w:szCs w:val="20"/>
              </w:rPr>
              <w:t>Specify if Global ,Regional Multi-National, National  or sub-</w:t>
            </w:r>
            <w:r>
              <w:rPr>
                <w:sz w:val="20"/>
                <w:szCs w:val="20"/>
              </w:rPr>
              <w:lastRenderedPageBreak/>
              <w:t>National</w:t>
            </w:r>
          </w:p>
        </w:tc>
        <w:tc>
          <w:tcPr>
            <w:tcW w:w="390" w:type="pct"/>
            <w:vMerge w:val="restart"/>
            <w:tcBorders>
              <w:top w:val="single" w:sz="6" w:space="0" w:color="000000"/>
              <w:left w:val="single" w:sz="6" w:space="0" w:color="000000"/>
              <w:right w:val="single" w:sz="6" w:space="0" w:color="000000"/>
            </w:tcBorders>
          </w:tcPr>
          <w:p w14:paraId="360D6F2F" w14:textId="77777777" w:rsidR="006E40C8" w:rsidRPr="00F45CE6" w:rsidRDefault="006E40C8" w:rsidP="008F4576">
            <w:pPr>
              <w:rPr>
                <w:sz w:val="20"/>
                <w:szCs w:val="20"/>
              </w:rPr>
            </w:pPr>
            <w:r w:rsidRPr="00F45CE6">
              <w:rPr>
                <w:sz w:val="20"/>
                <w:szCs w:val="20"/>
              </w:rPr>
              <w:lastRenderedPageBreak/>
              <w:t>Level of Maturity</w:t>
            </w:r>
          </w:p>
        </w:tc>
        <w:tc>
          <w:tcPr>
            <w:tcW w:w="390" w:type="pct"/>
            <w:vMerge w:val="restart"/>
            <w:tcBorders>
              <w:top w:val="single" w:sz="6" w:space="0" w:color="000000"/>
              <w:left w:val="single" w:sz="6" w:space="0" w:color="000000"/>
              <w:right w:val="single" w:sz="6" w:space="0" w:color="000000"/>
            </w:tcBorders>
          </w:tcPr>
          <w:p w14:paraId="3C6F2F86" w14:textId="77777777" w:rsidR="006E40C8" w:rsidRPr="00F45CE6" w:rsidRDefault="006E40C8" w:rsidP="008F4576">
            <w:pPr>
              <w:rPr>
                <w:sz w:val="20"/>
                <w:szCs w:val="20"/>
              </w:rPr>
            </w:pPr>
            <w:r w:rsidRPr="00F45CE6">
              <w:rPr>
                <w:sz w:val="20"/>
                <w:szCs w:val="20"/>
              </w:rPr>
              <w:t>Link to sub-IDOs (max. 2)</w:t>
            </w:r>
          </w:p>
        </w:tc>
        <w:tc>
          <w:tcPr>
            <w:tcW w:w="1330" w:type="pct"/>
            <w:gridSpan w:val="4"/>
            <w:tcBorders>
              <w:top w:val="single" w:sz="6" w:space="0" w:color="000000"/>
              <w:left w:val="single" w:sz="6" w:space="0" w:color="000000"/>
              <w:bottom w:val="single" w:sz="12" w:space="0" w:color="000000"/>
              <w:right w:val="single" w:sz="6" w:space="0" w:color="000000"/>
            </w:tcBorders>
          </w:tcPr>
          <w:p w14:paraId="107EEC2B" w14:textId="77777777" w:rsidR="006E40C8" w:rsidRPr="00F45CE6" w:rsidRDefault="006E40C8" w:rsidP="008F4576">
            <w:pPr>
              <w:jc w:val="center"/>
              <w:rPr>
                <w:sz w:val="20"/>
                <w:szCs w:val="20"/>
                <w:highlight w:val="white"/>
              </w:rPr>
            </w:pPr>
            <w:r w:rsidRPr="00F45CE6">
              <w:rPr>
                <w:sz w:val="20"/>
                <w:szCs w:val="20"/>
              </w:rPr>
              <w:t>CGIAR cross-cutting marker score</w:t>
            </w:r>
          </w:p>
        </w:tc>
        <w:tc>
          <w:tcPr>
            <w:tcW w:w="427" w:type="pct"/>
            <w:tcBorders>
              <w:left w:val="single" w:sz="6" w:space="0" w:color="000000"/>
              <w:bottom w:val="single" w:sz="12" w:space="0" w:color="000000"/>
              <w:right w:val="single" w:sz="6" w:space="0" w:color="000000"/>
            </w:tcBorders>
          </w:tcPr>
          <w:p w14:paraId="7036E1D8" w14:textId="77777777" w:rsidR="006E40C8" w:rsidRPr="00F45CE6" w:rsidRDefault="006E40C8" w:rsidP="008F4576">
            <w:pPr>
              <w:jc w:val="center"/>
              <w:rPr>
                <w:sz w:val="20"/>
                <w:szCs w:val="20"/>
              </w:rPr>
            </w:pPr>
            <w:r w:rsidRPr="00F45CE6">
              <w:rPr>
                <w:sz w:val="20"/>
                <w:szCs w:val="20"/>
              </w:rPr>
              <w:t xml:space="preserve">Link to OICR (obligatory if Level of Maturity is 2 or 3) or link to </w:t>
            </w:r>
            <w:r w:rsidRPr="00F45CE6">
              <w:rPr>
                <w:sz w:val="20"/>
                <w:szCs w:val="20"/>
              </w:rPr>
              <w:lastRenderedPageBreak/>
              <w:t>evidence</w:t>
            </w:r>
            <w:r>
              <w:rPr>
                <w:sz w:val="20"/>
                <w:szCs w:val="20"/>
              </w:rPr>
              <w:t xml:space="preserve">  (e.g. PDF generated from MIS)</w:t>
            </w:r>
          </w:p>
        </w:tc>
      </w:tr>
      <w:tr w:rsidR="00DF5088" w14:paraId="0654DDED" w14:textId="77777777" w:rsidTr="008F4576">
        <w:trPr>
          <w:trHeight w:val="598"/>
        </w:trPr>
        <w:tc>
          <w:tcPr>
            <w:tcW w:w="1201" w:type="pct"/>
            <w:vMerge/>
            <w:tcBorders>
              <w:left w:val="single" w:sz="6" w:space="0" w:color="000000"/>
              <w:bottom w:val="single" w:sz="6" w:space="0" w:color="000000"/>
              <w:right w:val="single" w:sz="6" w:space="0" w:color="000000"/>
            </w:tcBorders>
            <w:shd w:val="clear" w:color="auto" w:fill="D9E2F3"/>
          </w:tcPr>
          <w:p w14:paraId="3281E169" w14:textId="77777777" w:rsidR="006E40C8" w:rsidRPr="00F45CE6" w:rsidRDefault="006E40C8" w:rsidP="008F4576">
            <w:pPr>
              <w:rPr>
                <w:sz w:val="20"/>
                <w:szCs w:val="20"/>
              </w:rPr>
            </w:pPr>
          </w:p>
        </w:tc>
        <w:tc>
          <w:tcPr>
            <w:tcW w:w="438" w:type="pct"/>
            <w:tcBorders>
              <w:left w:val="single" w:sz="6" w:space="0" w:color="000000"/>
              <w:bottom w:val="single" w:sz="6" w:space="0" w:color="000000"/>
              <w:right w:val="single" w:sz="6" w:space="0" w:color="000000"/>
            </w:tcBorders>
          </w:tcPr>
          <w:p w14:paraId="3BB14B1E" w14:textId="77777777" w:rsidR="006E40C8" w:rsidRPr="00F45CE6" w:rsidRDefault="006E40C8" w:rsidP="008F4576">
            <w:pPr>
              <w:rPr>
                <w:sz w:val="20"/>
                <w:szCs w:val="20"/>
              </w:rPr>
            </w:pPr>
          </w:p>
        </w:tc>
        <w:tc>
          <w:tcPr>
            <w:tcW w:w="433" w:type="pct"/>
            <w:tcBorders>
              <w:left w:val="single" w:sz="6" w:space="0" w:color="000000"/>
              <w:bottom w:val="single" w:sz="6" w:space="0" w:color="000000"/>
              <w:right w:val="single" w:sz="6" w:space="0" w:color="000000"/>
            </w:tcBorders>
          </w:tcPr>
          <w:p w14:paraId="1B9B8CCD" w14:textId="77777777" w:rsidR="006E40C8" w:rsidRPr="00F45CE6" w:rsidRDefault="006E40C8" w:rsidP="008F4576">
            <w:pPr>
              <w:rPr>
                <w:sz w:val="20"/>
                <w:szCs w:val="20"/>
              </w:rPr>
            </w:pPr>
          </w:p>
        </w:tc>
        <w:tc>
          <w:tcPr>
            <w:tcW w:w="390" w:type="pct"/>
            <w:tcBorders>
              <w:left w:val="single" w:sz="6" w:space="0" w:color="000000"/>
              <w:bottom w:val="single" w:sz="6" w:space="0" w:color="000000"/>
              <w:right w:val="single" w:sz="6" w:space="0" w:color="000000"/>
            </w:tcBorders>
          </w:tcPr>
          <w:p w14:paraId="39755237" w14:textId="77777777" w:rsidR="006E40C8" w:rsidRPr="00F45CE6" w:rsidRDefault="006E40C8" w:rsidP="008F4576">
            <w:pPr>
              <w:rPr>
                <w:sz w:val="20"/>
                <w:szCs w:val="20"/>
              </w:rPr>
            </w:pPr>
          </w:p>
        </w:tc>
        <w:tc>
          <w:tcPr>
            <w:tcW w:w="390" w:type="pct"/>
            <w:vMerge/>
            <w:tcBorders>
              <w:left w:val="single" w:sz="6" w:space="0" w:color="000000"/>
              <w:bottom w:val="single" w:sz="6" w:space="0" w:color="000000"/>
              <w:right w:val="single" w:sz="6" w:space="0" w:color="000000"/>
            </w:tcBorders>
          </w:tcPr>
          <w:p w14:paraId="64DFD53B" w14:textId="77777777" w:rsidR="006E40C8" w:rsidRPr="00F45CE6" w:rsidRDefault="006E40C8" w:rsidP="008F4576">
            <w:pPr>
              <w:rPr>
                <w:sz w:val="20"/>
                <w:szCs w:val="20"/>
              </w:rPr>
            </w:pPr>
          </w:p>
        </w:tc>
        <w:tc>
          <w:tcPr>
            <w:tcW w:w="390" w:type="pct"/>
            <w:vMerge/>
            <w:tcBorders>
              <w:left w:val="single" w:sz="6" w:space="0" w:color="000000"/>
              <w:bottom w:val="single" w:sz="6" w:space="0" w:color="000000"/>
              <w:right w:val="single" w:sz="6" w:space="0" w:color="000000"/>
            </w:tcBorders>
          </w:tcPr>
          <w:p w14:paraId="7A041CAF" w14:textId="77777777" w:rsidR="006E40C8" w:rsidRPr="00F45CE6" w:rsidRDefault="006E40C8" w:rsidP="008F4576">
            <w:pPr>
              <w:rPr>
                <w:sz w:val="20"/>
                <w:szCs w:val="20"/>
              </w:rPr>
            </w:pPr>
          </w:p>
        </w:tc>
        <w:tc>
          <w:tcPr>
            <w:tcW w:w="333" w:type="pct"/>
            <w:tcBorders>
              <w:top w:val="single" w:sz="6" w:space="0" w:color="000000"/>
              <w:left w:val="single" w:sz="6" w:space="0" w:color="000000"/>
              <w:bottom w:val="single" w:sz="6" w:space="0" w:color="000000"/>
              <w:right w:val="single" w:sz="6" w:space="0" w:color="000000"/>
            </w:tcBorders>
          </w:tcPr>
          <w:p w14:paraId="0ACD6721" w14:textId="77777777" w:rsidR="006E40C8" w:rsidRPr="00F45CE6" w:rsidRDefault="006E40C8" w:rsidP="008F4576">
            <w:pPr>
              <w:rPr>
                <w:sz w:val="20"/>
                <w:szCs w:val="20"/>
              </w:rPr>
            </w:pPr>
            <w:r w:rsidRPr="00F45CE6">
              <w:rPr>
                <w:sz w:val="20"/>
                <w:szCs w:val="20"/>
                <w:highlight w:val="white"/>
              </w:rPr>
              <w:t>gender</w:t>
            </w:r>
          </w:p>
        </w:tc>
        <w:tc>
          <w:tcPr>
            <w:tcW w:w="333" w:type="pct"/>
            <w:tcBorders>
              <w:top w:val="single" w:sz="6" w:space="0" w:color="000000"/>
              <w:left w:val="single" w:sz="6" w:space="0" w:color="000000"/>
              <w:bottom w:val="single" w:sz="6" w:space="0" w:color="000000"/>
              <w:right w:val="single" w:sz="6" w:space="0" w:color="000000"/>
            </w:tcBorders>
          </w:tcPr>
          <w:p w14:paraId="04FA12B7" w14:textId="77777777" w:rsidR="006E40C8" w:rsidRPr="00F45CE6" w:rsidRDefault="006E40C8" w:rsidP="008F4576">
            <w:pPr>
              <w:rPr>
                <w:sz w:val="20"/>
                <w:szCs w:val="20"/>
              </w:rPr>
            </w:pPr>
            <w:r w:rsidRPr="00F45CE6">
              <w:rPr>
                <w:sz w:val="20"/>
                <w:szCs w:val="20"/>
                <w:highlight w:val="white"/>
              </w:rPr>
              <w:t>youth</w:t>
            </w:r>
          </w:p>
        </w:tc>
        <w:tc>
          <w:tcPr>
            <w:tcW w:w="333" w:type="pct"/>
            <w:tcBorders>
              <w:top w:val="single" w:sz="6" w:space="0" w:color="000000"/>
              <w:left w:val="single" w:sz="6" w:space="0" w:color="000000"/>
              <w:bottom w:val="single" w:sz="6" w:space="0" w:color="000000"/>
              <w:right w:val="single" w:sz="6" w:space="0" w:color="000000"/>
            </w:tcBorders>
          </w:tcPr>
          <w:p w14:paraId="08ACB307" w14:textId="77777777" w:rsidR="006E40C8" w:rsidRPr="00F45CE6" w:rsidRDefault="006E40C8" w:rsidP="008F4576">
            <w:pPr>
              <w:rPr>
                <w:sz w:val="20"/>
                <w:szCs w:val="20"/>
                <w:highlight w:val="white"/>
              </w:rPr>
            </w:pPr>
            <w:proofErr w:type="spellStart"/>
            <w:r w:rsidRPr="00F45CE6">
              <w:rPr>
                <w:sz w:val="20"/>
                <w:szCs w:val="20"/>
                <w:highlight w:val="white"/>
              </w:rPr>
              <w:t>capdev</w:t>
            </w:r>
            <w:proofErr w:type="spellEnd"/>
          </w:p>
        </w:tc>
        <w:tc>
          <w:tcPr>
            <w:tcW w:w="333" w:type="pct"/>
            <w:tcBorders>
              <w:top w:val="single" w:sz="6" w:space="0" w:color="000000"/>
              <w:left w:val="single" w:sz="6" w:space="0" w:color="000000"/>
              <w:bottom w:val="single" w:sz="6" w:space="0" w:color="000000"/>
              <w:right w:val="single" w:sz="6" w:space="0" w:color="000000"/>
            </w:tcBorders>
          </w:tcPr>
          <w:p w14:paraId="645CBE07" w14:textId="77777777" w:rsidR="006E40C8" w:rsidRPr="00F45CE6" w:rsidRDefault="006E40C8" w:rsidP="008F4576">
            <w:pPr>
              <w:rPr>
                <w:sz w:val="20"/>
                <w:szCs w:val="20"/>
              </w:rPr>
            </w:pPr>
            <w:r w:rsidRPr="00F45CE6">
              <w:rPr>
                <w:sz w:val="20"/>
                <w:szCs w:val="20"/>
                <w:highlight w:val="white"/>
              </w:rPr>
              <w:t>Climate Change</w:t>
            </w:r>
          </w:p>
        </w:tc>
        <w:tc>
          <w:tcPr>
            <w:tcW w:w="427" w:type="pct"/>
            <w:tcBorders>
              <w:top w:val="single" w:sz="6" w:space="0" w:color="000000"/>
              <w:left w:val="single" w:sz="6" w:space="0" w:color="000000"/>
              <w:bottom w:val="single" w:sz="6" w:space="0" w:color="000000"/>
              <w:right w:val="single" w:sz="6" w:space="0" w:color="000000"/>
            </w:tcBorders>
          </w:tcPr>
          <w:p w14:paraId="54F2EC02" w14:textId="77777777" w:rsidR="006E40C8" w:rsidRPr="00F45CE6" w:rsidRDefault="006E40C8" w:rsidP="008F4576">
            <w:pPr>
              <w:rPr>
                <w:sz w:val="20"/>
                <w:szCs w:val="20"/>
                <w:highlight w:val="white"/>
              </w:rPr>
            </w:pPr>
          </w:p>
        </w:tc>
      </w:tr>
      <w:tr w:rsidR="00DF5088" w14:paraId="27351CEC" w14:textId="77777777" w:rsidTr="008F4576">
        <w:trPr>
          <w:trHeight w:val="238"/>
        </w:trPr>
        <w:tc>
          <w:tcPr>
            <w:tcW w:w="1201" w:type="pct"/>
            <w:tcBorders>
              <w:top w:val="single" w:sz="6" w:space="0" w:color="000000"/>
              <w:left w:val="single" w:sz="6" w:space="0" w:color="000000"/>
              <w:bottom w:val="single" w:sz="12" w:space="0" w:color="000000"/>
              <w:right w:val="single" w:sz="6" w:space="0" w:color="000000"/>
            </w:tcBorders>
            <w:shd w:val="clear" w:color="auto" w:fill="D9E2F3"/>
          </w:tcPr>
          <w:p w14:paraId="0893572C" w14:textId="77777777" w:rsidR="006E40C8" w:rsidRPr="0041164A" w:rsidRDefault="006E40C8" w:rsidP="008F4576">
            <w:pPr>
              <w:rPr>
                <w:sz w:val="20"/>
                <w:szCs w:val="20"/>
              </w:rPr>
            </w:pPr>
          </w:p>
          <w:p w14:paraId="33CF4864" w14:textId="39CA8F4B" w:rsidR="0041164A" w:rsidRPr="0041164A" w:rsidRDefault="00DF5088" w:rsidP="0041164A">
            <w:pPr>
              <w:rPr>
                <w:rFonts w:ascii="Calibri" w:eastAsia="Calibri" w:hAnsi="Calibri"/>
                <w:sz w:val="22"/>
                <w:szCs w:val="22"/>
              </w:rPr>
            </w:pPr>
            <w:r>
              <w:rPr>
                <w:rFonts w:ascii="Calibri" w:eastAsia="Calibri" w:hAnsi="Calibri"/>
                <w:sz w:val="22"/>
                <w:szCs w:val="22"/>
              </w:rPr>
              <w:t>The revision of</w:t>
            </w:r>
            <w:r w:rsidR="0041164A" w:rsidRPr="0041164A">
              <w:rPr>
                <w:rFonts w:ascii="Calibri" w:eastAsia="Calibri" w:hAnsi="Calibri"/>
                <w:sz w:val="22"/>
                <w:szCs w:val="22"/>
              </w:rPr>
              <w:t xml:space="preserve"> guidelines (2013/14) to release crop cultivars with special attributes like improved nutrition and easy snapping trait in Kenya and Uganda enabled release of Finger millet cultivars. Earlier guidelines considered only yield increase as criteria to release crop cultivars that blocked the release of cultivars with special attributes. The current guidelines require the cultivars to be at par with the yield of the control cultivars if they possess special attributes. </w:t>
            </w:r>
          </w:p>
          <w:p w14:paraId="3218FA7F" w14:textId="77777777" w:rsidR="0041164A" w:rsidRPr="0041164A" w:rsidRDefault="0041164A" w:rsidP="0041164A">
            <w:pPr>
              <w:rPr>
                <w:rFonts w:ascii="Calibri" w:eastAsia="Calibri" w:hAnsi="Calibri"/>
                <w:sz w:val="22"/>
                <w:szCs w:val="22"/>
              </w:rPr>
            </w:pPr>
          </w:p>
          <w:p w14:paraId="034EAFA2" w14:textId="77777777" w:rsidR="0041164A" w:rsidRPr="0041164A" w:rsidRDefault="0041164A" w:rsidP="0041164A">
            <w:pPr>
              <w:rPr>
                <w:rFonts w:ascii="Calibri" w:eastAsia="Calibri" w:hAnsi="Calibri"/>
                <w:sz w:val="22"/>
                <w:szCs w:val="22"/>
              </w:rPr>
            </w:pPr>
            <w:r w:rsidRPr="0041164A">
              <w:rPr>
                <w:rFonts w:ascii="Calibri" w:eastAsia="Calibri" w:hAnsi="Calibri"/>
                <w:sz w:val="22"/>
                <w:szCs w:val="22"/>
              </w:rPr>
              <w:t xml:space="preserve">In Kenya, EUFM 12 and EUFM 5 cultivars were released based on the criteria of special attributes. EUFM 12 has grain protein content of 9.63 %, which is 25% higher than the normal cultivars (7.7 %) and EUFM 5 is an easy snapping cultivar that reduces drudgery of women. </w:t>
            </w:r>
          </w:p>
          <w:p w14:paraId="7CB496FD" w14:textId="77777777" w:rsidR="0041164A" w:rsidRPr="0041164A" w:rsidRDefault="0041164A" w:rsidP="0041164A">
            <w:pPr>
              <w:rPr>
                <w:rFonts w:ascii="Calibri" w:eastAsia="Calibri" w:hAnsi="Calibri"/>
                <w:sz w:val="22"/>
                <w:szCs w:val="22"/>
              </w:rPr>
            </w:pPr>
          </w:p>
          <w:p w14:paraId="37117082" w14:textId="77777777" w:rsidR="0041164A" w:rsidRPr="0041164A" w:rsidRDefault="0041164A" w:rsidP="0041164A">
            <w:pPr>
              <w:rPr>
                <w:rFonts w:ascii="Calibri" w:eastAsia="Calibri" w:hAnsi="Calibri"/>
                <w:sz w:val="22"/>
                <w:szCs w:val="22"/>
              </w:rPr>
            </w:pPr>
            <w:r w:rsidRPr="0041164A">
              <w:rPr>
                <w:rFonts w:ascii="Calibri" w:eastAsia="Calibri" w:hAnsi="Calibri"/>
                <w:sz w:val="22"/>
                <w:szCs w:val="22"/>
              </w:rPr>
              <w:lastRenderedPageBreak/>
              <w:t xml:space="preserve"> Similarly in Uganda, NAROMIL 3 with grain Fe content of 8.8 mg/100gm, which is 125% higher than the normal (3.9 mg/100gm) and NAROMIL 5 with grain protein content </w:t>
            </w:r>
            <w:proofErr w:type="gramStart"/>
            <w:r w:rsidRPr="0041164A">
              <w:rPr>
                <w:rFonts w:ascii="Calibri" w:eastAsia="Calibri" w:hAnsi="Calibri"/>
                <w:sz w:val="22"/>
                <w:szCs w:val="22"/>
              </w:rPr>
              <w:t>of  12.2</w:t>
            </w:r>
            <w:proofErr w:type="gramEnd"/>
            <w:r w:rsidRPr="0041164A">
              <w:rPr>
                <w:rFonts w:ascii="Calibri" w:eastAsia="Calibri" w:hAnsi="Calibri"/>
                <w:sz w:val="22"/>
                <w:szCs w:val="22"/>
              </w:rPr>
              <w:t xml:space="preserve">%, which is 58% higher than normal cultivar (7.7%) were released in 2018 based on the special nutrition attributes. </w:t>
            </w:r>
          </w:p>
          <w:p w14:paraId="3315FABA" w14:textId="77777777" w:rsidR="0041164A" w:rsidRPr="0041164A" w:rsidRDefault="0041164A" w:rsidP="0041164A">
            <w:pPr>
              <w:rPr>
                <w:rFonts w:ascii="Calibri" w:eastAsia="Calibri" w:hAnsi="Calibri"/>
                <w:sz w:val="22"/>
                <w:szCs w:val="22"/>
              </w:rPr>
            </w:pPr>
            <w:r w:rsidRPr="0041164A">
              <w:rPr>
                <w:rFonts w:ascii="Calibri" w:eastAsia="Calibri" w:hAnsi="Calibri"/>
                <w:sz w:val="22"/>
                <w:szCs w:val="22"/>
              </w:rPr>
              <w:t xml:space="preserve">Such revision in policy guidelines to use special attributes as criteria  in release of crop cultivars in other countries will pave way to commercialization of new crop cultivars with special attributes such as enhanced nutrients, machine </w:t>
            </w:r>
            <w:proofErr w:type="spellStart"/>
            <w:r w:rsidRPr="0041164A">
              <w:rPr>
                <w:rFonts w:ascii="Calibri" w:eastAsia="Calibri" w:hAnsi="Calibri"/>
                <w:sz w:val="22"/>
                <w:szCs w:val="22"/>
              </w:rPr>
              <w:t>harvestability</w:t>
            </w:r>
            <w:proofErr w:type="spellEnd"/>
            <w:r w:rsidRPr="0041164A">
              <w:rPr>
                <w:rFonts w:ascii="Calibri" w:eastAsia="Calibri" w:hAnsi="Calibri"/>
                <w:sz w:val="22"/>
                <w:szCs w:val="22"/>
              </w:rPr>
              <w:t xml:space="preserve">, ease of harvesting (snapping trait in Finger millet) etc. </w:t>
            </w:r>
          </w:p>
          <w:p w14:paraId="6D4080B1" w14:textId="77777777" w:rsidR="0041164A" w:rsidRPr="0041164A" w:rsidRDefault="0041164A" w:rsidP="0041164A">
            <w:pPr>
              <w:rPr>
                <w:rFonts w:ascii="Calibri" w:eastAsia="Calibri" w:hAnsi="Calibri"/>
                <w:sz w:val="22"/>
                <w:szCs w:val="22"/>
              </w:rPr>
            </w:pPr>
          </w:p>
          <w:p w14:paraId="5E95FF4F" w14:textId="2A4CCCFC" w:rsidR="0041164A" w:rsidRPr="0041164A" w:rsidRDefault="0041164A" w:rsidP="0041164A">
            <w:pPr>
              <w:rPr>
                <w:rFonts w:ascii="Calibri" w:eastAsia="Calibri" w:hAnsi="Calibri"/>
                <w:sz w:val="22"/>
                <w:szCs w:val="22"/>
              </w:rPr>
            </w:pPr>
            <w:r w:rsidRPr="0041164A">
              <w:rPr>
                <w:rFonts w:ascii="Calibri" w:eastAsia="Calibri" w:hAnsi="Calibri"/>
                <w:sz w:val="22"/>
                <w:szCs w:val="22"/>
              </w:rPr>
              <w:t xml:space="preserve">The revised cultivar release guidelines are adopted in Uganda, Kenya and Tanzania and these are unified guidelines for COMESA </w:t>
            </w:r>
            <w:r w:rsidR="006E5498">
              <w:rPr>
                <w:rFonts w:ascii="Calibri" w:eastAsia="Calibri" w:hAnsi="Calibri"/>
                <w:sz w:val="22"/>
                <w:szCs w:val="22"/>
              </w:rPr>
              <w:t>(</w:t>
            </w:r>
            <w:r w:rsidR="006E5498" w:rsidRPr="006E5498">
              <w:rPr>
                <w:rFonts w:ascii="Calibri" w:eastAsia="Calibri" w:hAnsi="Calibri"/>
                <w:sz w:val="22"/>
                <w:szCs w:val="22"/>
              </w:rPr>
              <w:t>Common Market for Eastern and Southern Africa</w:t>
            </w:r>
            <w:r w:rsidR="006E5498">
              <w:rPr>
                <w:rFonts w:ascii="Calibri" w:eastAsia="Calibri" w:hAnsi="Calibri"/>
                <w:sz w:val="22"/>
                <w:szCs w:val="22"/>
              </w:rPr>
              <w:t xml:space="preserve">) </w:t>
            </w:r>
            <w:r w:rsidRPr="0041164A">
              <w:rPr>
                <w:rFonts w:ascii="Calibri" w:eastAsia="Calibri" w:hAnsi="Calibri"/>
                <w:sz w:val="22"/>
                <w:szCs w:val="22"/>
              </w:rPr>
              <w:t>countries and hope they will be soon adopted by other COMESA countries, Rwanda, Malawi and Zimbabwe.</w:t>
            </w:r>
          </w:p>
          <w:p w14:paraId="7FD77ED0" w14:textId="2A44FDF4" w:rsidR="0041164A" w:rsidRPr="0041164A" w:rsidRDefault="0041164A" w:rsidP="0041164A">
            <w:pPr>
              <w:rPr>
                <w:sz w:val="20"/>
                <w:szCs w:val="20"/>
              </w:rPr>
            </w:pPr>
            <w:r w:rsidRPr="0041164A">
              <w:rPr>
                <w:sz w:val="20"/>
                <w:szCs w:val="20"/>
              </w:rPr>
              <w:t xml:space="preserve">. </w:t>
            </w:r>
          </w:p>
          <w:p w14:paraId="1783D694" w14:textId="77777777" w:rsidR="003D226D" w:rsidRDefault="003D226D" w:rsidP="008F4576">
            <w:pPr>
              <w:rPr>
                <w:sz w:val="20"/>
                <w:szCs w:val="20"/>
              </w:rPr>
            </w:pPr>
          </w:p>
          <w:p w14:paraId="00D26E5F" w14:textId="77777777" w:rsidR="003D226D" w:rsidRPr="00F45CE6" w:rsidRDefault="003D226D" w:rsidP="008F4576">
            <w:pPr>
              <w:rPr>
                <w:sz w:val="20"/>
                <w:szCs w:val="20"/>
              </w:rPr>
            </w:pPr>
          </w:p>
        </w:tc>
        <w:tc>
          <w:tcPr>
            <w:tcW w:w="438" w:type="pct"/>
            <w:tcBorders>
              <w:top w:val="single" w:sz="6" w:space="0" w:color="000000"/>
              <w:left w:val="single" w:sz="6" w:space="0" w:color="000000"/>
              <w:bottom w:val="single" w:sz="12" w:space="0" w:color="000000"/>
              <w:right w:val="single" w:sz="6" w:space="0" w:color="000000"/>
            </w:tcBorders>
          </w:tcPr>
          <w:p w14:paraId="23E0D881" w14:textId="2430B026" w:rsidR="006E40C8" w:rsidRPr="00F45CE6" w:rsidRDefault="00DF5088" w:rsidP="008F4576">
            <w:pPr>
              <w:rPr>
                <w:sz w:val="20"/>
                <w:szCs w:val="20"/>
              </w:rPr>
            </w:pPr>
            <w:r>
              <w:rPr>
                <w:sz w:val="20"/>
                <w:szCs w:val="20"/>
              </w:rPr>
              <w:lastRenderedPageBreak/>
              <w:t xml:space="preserve">Modified variety release </w:t>
            </w:r>
            <w:r w:rsidRPr="00DF5088">
              <w:rPr>
                <w:sz w:val="20"/>
                <w:szCs w:val="20"/>
              </w:rPr>
              <w:t>guidelines (2013/14) to release crop cultivars with special attributes</w:t>
            </w:r>
          </w:p>
        </w:tc>
        <w:tc>
          <w:tcPr>
            <w:tcW w:w="433" w:type="pct"/>
            <w:tcBorders>
              <w:top w:val="single" w:sz="6" w:space="0" w:color="000000"/>
              <w:left w:val="single" w:sz="6" w:space="0" w:color="000000"/>
              <w:bottom w:val="single" w:sz="12" w:space="0" w:color="000000"/>
              <w:right w:val="single" w:sz="6" w:space="0" w:color="000000"/>
            </w:tcBorders>
          </w:tcPr>
          <w:p w14:paraId="03DE83DE" w14:textId="77777777" w:rsidR="006E40C8" w:rsidRPr="00F45CE6" w:rsidRDefault="006E40C8" w:rsidP="008F4576">
            <w:pPr>
              <w:rPr>
                <w:sz w:val="20"/>
                <w:szCs w:val="20"/>
              </w:rPr>
            </w:pPr>
          </w:p>
        </w:tc>
        <w:tc>
          <w:tcPr>
            <w:tcW w:w="390" w:type="pct"/>
            <w:tcBorders>
              <w:top w:val="single" w:sz="6" w:space="0" w:color="000000"/>
              <w:left w:val="single" w:sz="6" w:space="0" w:color="000000"/>
              <w:bottom w:val="single" w:sz="12" w:space="0" w:color="000000"/>
              <w:right w:val="single" w:sz="6" w:space="0" w:color="000000"/>
            </w:tcBorders>
          </w:tcPr>
          <w:p w14:paraId="0A7580B4" w14:textId="7AE25906" w:rsidR="006E40C8" w:rsidRPr="00F45CE6" w:rsidRDefault="00DF5088" w:rsidP="008F4576">
            <w:pPr>
              <w:rPr>
                <w:sz w:val="20"/>
                <w:szCs w:val="20"/>
              </w:rPr>
            </w:pPr>
            <w:r>
              <w:rPr>
                <w:sz w:val="20"/>
                <w:szCs w:val="20"/>
              </w:rPr>
              <w:t>Regional</w:t>
            </w:r>
          </w:p>
        </w:tc>
        <w:tc>
          <w:tcPr>
            <w:tcW w:w="390" w:type="pct"/>
            <w:tcBorders>
              <w:top w:val="single" w:sz="6" w:space="0" w:color="000000"/>
              <w:left w:val="single" w:sz="6" w:space="0" w:color="000000"/>
              <w:bottom w:val="single" w:sz="12" w:space="0" w:color="000000"/>
              <w:right w:val="single" w:sz="6" w:space="0" w:color="000000"/>
            </w:tcBorders>
          </w:tcPr>
          <w:p w14:paraId="58D73931" w14:textId="227ACAE0" w:rsidR="006E40C8" w:rsidRPr="00F45CE6" w:rsidRDefault="00DF5088" w:rsidP="008F4576">
            <w:pPr>
              <w:rPr>
                <w:sz w:val="20"/>
                <w:szCs w:val="20"/>
              </w:rPr>
            </w:pPr>
            <w:r>
              <w:rPr>
                <w:sz w:val="20"/>
                <w:szCs w:val="20"/>
              </w:rPr>
              <w:t>Implemented in some countries that can drive implementation in other countries.</w:t>
            </w:r>
          </w:p>
        </w:tc>
        <w:tc>
          <w:tcPr>
            <w:tcW w:w="390" w:type="pct"/>
            <w:tcBorders>
              <w:top w:val="single" w:sz="6" w:space="0" w:color="000000"/>
              <w:left w:val="single" w:sz="6" w:space="0" w:color="000000"/>
              <w:bottom w:val="single" w:sz="12" w:space="0" w:color="000000"/>
              <w:right w:val="single" w:sz="6" w:space="0" w:color="000000"/>
            </w:tcBorders>
          </w:tcPr>
          <w:p w14:paraId="53B9ED0C" w14:textId="77777777" w:rsidR="006E40C8" w:rsidRPr="00F45CE6" w:rsidRDefault="006E40C8" w:rsidP="008F4576">
            <w:pPr>
              <w:rPr>
                <w:sz w:val="20"/>
                <w:szCs w:val="20"/>
              </w:rPr>
            </w:pPr>
          </w:p>
        </w:tc>
        <w:tc>
          <w:tcPr>
            <w:tcW w:w="333" w:type="pct"/>
            <w:tcBorders>
              <w:top w:val="single" w:sz="6" w:space="0" w:color="000000"/>
              <w:left w:val="single" w:sz="6" w:space="0" w:color="000000"/>
              <w:bottom w:val="single" w:sz="12" w:space="0" w:color="000000"/>
              <w:right w:val="single" w:sz="6" w:space="0" w:color="000000"/>
            </w:tcBorders>
          </w:tcPr>
          <w:p w14:paraId="1EC7B83B" w14:textId="5BC5B755" w:rsidR="006E40C8" w:rsidRPr="00F45CE6" w:rsidRDefault="00DF5088" w:rsidP="008F4576">
            <w:pPr>
              <w:rPr>
                <w:sz w:val="20"/>
                <w:szCs w:val="20"/>
                <w:highlight w:val="white"/>
              </w:rPr>
            </w:pPr>
            <w:r>
              <w:rPr>
                <w:sz w:val="20"/>
                <w:szCs w:val="20"/>
                <w:highlight w:val="white"/>
              </w:rPr>
              <w:t>Yes</w:t>
            </w:r>
          </w:p>
        </w:tc>
        <w:tc>
          <w:tcPr>
            <w:tcW w:w="333" w:type="pct"/>
            <w:tcBorders>
              <w:top w:val="single" w:sz="6" w:space="0" w:color="000000"/>
              <w:left w:val="single" w:sz="6" w:space="0" w:color="000000"/>
              <w:bottom w:val="single" w:sz="12" w:space="0" w:color="000000"/>
              <w:right w:val="single" w:sz="6" w:space="0" w:color="000000"/>
            </w:tcBorders>
          </w:tcPr>
          <w:p w14:paraId="6EF38539" w14:textId="7D4C51DA" w:rsidR="006E40C8" w:rsidRPr="00F45CE6" w:rsidRDefault="00DF5088" w:rsidP="008F4576">
            <w:pPr>
              <w:rPr>
                <w:sz w:val="20"/>
                <w:szCs w:val="20"/>
                <w:highlight w:val="white"/>
              </w:rPr>
            </w:pPr>
            <w:r>
              <w:rPr>
                <w:sz w:val="20"/>
                <w:szCs w:val="20"/>
                <w:highlight w:val="white"/>
              </w:rPr>
              <w:t>Yes</w:t>
            </w:r>
          </w:p>
        </w:tc>
        <w:tc>
          <w:tcPr>
            <w:tcW w:w="333" w:type="pct"/>
            <w:tcBorders>
              <w:top w:val="single" w:sz="6" w:space="0" w:color="000000"/>
              <w:left w:val="single" w:sz="6" w:space="0" w:color="000000"/>
              <w:bottom w:val="single" w:sz="12" w:space="0" w:color="000000"/>
              <w:right w:val="single" w:sz="6" w:space="0" w:color="000000"/>
            </w:tcBorders>
          </w:tcPr>
          <w:p w14:paraId="0F4ADB17" w14:textId="73ED043D" w:rsidR="006E40C8" w:rsidRPr="00F45CE6" w:rsidRDefault="006E40C8" w:rsidP="008F4576">
            <w:pPr>
              <w:rPr>
                <w:sz w:val="20"/>
                <w:szCs w:val="20"/>
                <w:highlight w:val="white"/>
              </w:rPr>
            </w:pPr>
          </w:p>
        </w:tc>
        <w:tc>
          <w:tcPr>
            <w:tcW w:w="333" w:type="pct"/>
            <w:tcBorders>
              <w:top w:val="single" w:sz="6" w:space="0" w:color="000000"/>
              <w:left w:val="single" w:sz="6" w:space="0" w:color="000000"/>
              <w:bottom w:val="single" w:sz="12" w:space="0" w:color="000000"/>
              <w:right w:val="single" w:sz="6" w:space="0" w:color="000000"/>
            </w:tcBorders>
          </w:tcPr>
          <w:p w14:paraId="45C3ACBD" w14:textId="66C895AA" w:rsidR="006E40C8" w:rsidRPr="00F45CE6" w:rsidRDefault="00DF5088" w:rsidP="008F4576">
            <w:pPr>
              <w:rPr>
                <w:sz w:val="20"/>
                <w:szCs w:val="20"/>
                <w:highlight w:val="white"/>
              </w:rPr>
            </w:pPr>
            <w:r>
              <w:rPr>
                <w:sz w:val="20"/>
                <w:szCs w:val="20"/>
                <w:highlight w:val="white"/>
              </w:rPr>
              <w:t>Yes</w:t>
            </w:r>
          </w:p>
        </w:tc>
        <w:tc>
          <w:tcPr>
            <w:tcW w:w="427" w:type="pct"/>
            <w:tcBorders>
              <w:top w:val="single" w:sz="6" w:space="0" w:color="000000"/>
              <w:left w:val="single" w:sz="6" w:space="0" w:color="000000"/>
              <w:bottom w:val="single" w:sz="12" w:space="0" w:color="000000"/>
              <w:right w:val="single" w:sz="6" w:space="0" w:color="000000"/>
            </w:tcBorders>
          </w:tcPr>
          <w:p w14:paraId="7EC6AF04" w14:textId="77777777" w:rsidR="006E40C8" w:rsidRPr="00F45CE6" w:rsidRDefault="006E40C8" w:rsidP="008F4576">
            <w:pPr>
              <w:rPr>
                <w:sz w:val="20"/>
                <w:szCs w:val="20"/>
                <w:highlight w:val="white"/>
              </w:rPr>
            </w:pPr>
          </w:p>
        </w:tc>
      </w:tr>
    </w:tbl>
    <w:p w14:paraId="3BA355F0" w14:textId="77777777" w:rsidR="006E40C8" w:rsidRDefault="006E40C8" w:rsidP="006E40C8">
      <w:pPr>
        <w:contextualSpacing/>
      </w:pPr>
    </w:p>
    <w:p w14:paraId="1CF165E9" w14:textId="77777777" w:rsidR="00066BB8" w:rsidRDefault="00066BB8" w:rsidP="006E40C8">
      <w:pPr>
        <w:contextualSpacing/>
      </w:pPr>
    </w:p>
    <w:p w14:paraId="1F74B21F" w14:textId="77777777" w:rsidR="00066BB8" w:rsidRDefault="00066BB8" w:rsidP="006E40C8">
      <w:pPr>
        <w:contextualSpacing/>
      </w:pPr>
    </w:p>
    <w:p w14:paraId="5AE2213B" w14:textId="77777777" w:rsidR="00066BB8" w:rsidRDefault="00066BB8" w:rsidP="006E40C8">
      <w:pPr>
        <w:contextualSpacing/>
      </w:pPr>
    </w:p>
    <w:p w14:paraId="3021C9B3" w14:textId="77777777" w:rsidR="00066BB8" w:rsidRDefault="00066BB8" w:rsidP="006E40C8">
      <w:pPr>
        <w:contextualSpacing/>
      </w:pPr>
    </w:p>
    <w:p w14:paraId="1B4395C5" w14:textId="77777777" w:rsidR="00066BB8" w:rsidRDefault="00066BB8" w:rsidP="006E40C8">
      <w:pPr>
        <w:contextualSpacing/>
      </w:pPr>
    </w:p>
    <w:p w14:paraId="0AD573D2" w14:textId="77777777" w:rsidR="00066BB8" w:rsidRDefault="00066BB8" w:rsidP="006E40C8">
      <w:pPr>
        <w:contextualSpacing/>
      </w:pPr>
    </w:p>
    <w:p w14:paraId="39C8FD2E" w14:textId="77777777" w:rsidR="00066BB8" w:rsidRDefault="00066BB8" w:rsidP="006E40C8">
      <w:pPr>
        <w:contextualSpacing/>
      </w:pPr>
    </w:p>
    <w:p w14:paraId="0424A79E" w14:textId="77777777" w:rsidR="006E40C8" w:rsidRDefault="006E40C8" w:rsidP="006E40C8">
      <w:pPr>
        <w:pStyle w:val="Heading1"/>
      </w:pPr>
      <w:bookmarkStart w:id="34" w:name="_Ref531264500"/>
      <w:bookmarkStart w:id="35" w:name="_Toc531264776"/>
      <w:bookmarkStart w:id="36" w:name="_Hlk531117973"/>
      <w:bookmarkStart w:id="37" w:name="_Toc531191910"/>
      <w:bookmarkStart w:id="38" w:name="_Ref531211982"/>
      <w:bookmarkStart w:id="39" w:name="_Ref531211983"/>
      <w:bookmarkEnd w:id="33"/>
      <w:r w:rsidRPr="00413F1B">
        <w:rPr>
          <w:color w:val="BFBFBF" w:themeColor="background1" w:themeShade="BF"/>
          <w:sz w:val="24"/>
        </w:rPr>
        <w:t>Table 4:  Condensed list of innovations by stage for this reporting year</w:t>
      </w:r>
      <w:bookmarkEnd w:id="34"/>
      <w:bookmarkEnd w:id="35"/>
    </w:p>
    <w:p w14:paraId="0D3EFA32" w14:textId="77777777" w:rsidR="006E40C8" w:rsidRPr="00602581" w:rsidRDefault="006E40C8" w:rsidP="006E40C8">
      <w:r>
        <w:t xml:space="preserve">Please complete the table below and report the supporting document in MEL unless you have already an external link to be provided.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784"/>
        <w:gridCol w:w="1508"/>
        <w:gridCol w:w="1488"/>
        <w:gridCol w:w="2566"/>
      </w:tblGrid>
      <w:tr w:rsidR="00791397" w:rsidRPr="00A418A6" w14:paraId="64E00CAB" w14:textId="77777777" w:rsidTr="00791397">
        <w:tc>
          <w:tcPr>
            <w:tcW w:w="998" w:type="pct"/>
            <w:shd w:val="clear" w:color="auto" w:fill="FFF2CC"/>
          </w:tcPr>
          <w:p w14:paraId="44110091" w14:textId="77777777" w:rsidR="006E40C8" w:rsidRDefault="006E40C8" w:rsidP="008F4576">
            <w:pPr>
              <w:spacing w:before="100"/>
              <w:rPr>
                <w:sz w:val="20"/>
                <w:szCs w:val="20"/>
              </w:rPr>
            </w:pPr>
            <w:r>
              <w:rPr>
                <w:b/>
                <w:sz w:val="20"/>
                <w:szCs w:val="20"/>
              </w:rPr>
              <w:t>Title of innovation</w:t>
            </w:r>
          </w:p>
        </w:tc>
        <w:tc>
          <w:tcPr>
            <w:tcW w:w="2040" w:type="pct"/>
            <w:shd w:val="clear" w:color="auto" w:fill="FFF2CC"/>
          </w:tcPr>
          <w:p w14:paraId="5B4FA18D" w14:textId="77777777" w:rsidR="006E40C8" w:rsidRPr="00642CF0" w:rsidRDefault="006E40C8" w:rsidP="008F4576">
            <w:pPr>
              <w:spacing w:before="100"/>
              <w:ind w:left="360"/>
              <w:rPr>
                <w:b/>
                <w:sz w:val="20"/>
                <w:szCs w:val="20"/>
              </w:rPr>
            </w:pPr>
            <w:proofErr w:type="spellStart"/>
            <w:r>
              <w:rPr>
                <w:b/>
                <w:sz w:val="20"/>
                <w:szCs w:val="20"/>
              </w:rPr>
              <w:t>Weblink</w:t>
            </w:r>
            <w:proofErr w:type="spellEnd"/>
          </w:p>
        </w:tc>
        <w:tc>
          <w:tcPr>
            <w:tcW w:w="532" w:type="pct"/>
            <w:shd w:val="clear" w:color="auto" w:fill="FFF2CC"/>
          </w:tcPr>
          <w:p w14:paraId="18F58720" w14:textId="77777777" w:rsidR="006E40C8" w:rsidRPr="00642CF0" w:rsidRDefault="006E40C8" w:rsidP="008F4576">
            <w:pPr>
              <w:spacing w:before="100"/>
              <w:ind w:left="360"/>
              <w:rPr>
                <w:sz w:val="20"/>
                <w:szCs w:val="20"/>
              </w:rPr>
            </w:pPr>
            <w:r w:rsidRPr="00642CF0">
              <w:rPr>
                <w:b/>
                <w:sz w:val="20"/>
                <w:szCs w:val="20"/>
              </w:rPr>
              <w:t>Innovation Type</w:t>
            </w:r>
          </w:p>
        </w:tc>
        <w:tc>
          <w:tcPr>
            <w:tcW w:w="525" w:type="pct"/>
            <w:shd w:val="clear" w:color="auto" w:fill="FFF2CC"/>
          </w:tcPr>
          <w:p w14:paraId="1E4D957E" w14:textId="77777777" w:rsidR="006E40C8" w:rsidRPr="00642CF0" w:rsidRDefault="006E40C8" w:rsidP="008F4576">
            <w:pPr>
              <w:tabs>
                <w:tab w:val="left" w:pos="2722"/>
              </w:tabs>
              <w:ind w:left="360"/>
              <w:contextualSpacing/>
              <w:rPr>
                <w:sz w:val="20"/>
                <w:szCs w:val="20"/>
              </w:rPr>
            </w:pPr>
            <w:r w:rsidRPr="00642CF0">
              <w:rPr>
                <w:b/>
                <w:sz w:val="20"/>
                <w:szCs w:val="20"/>
              </w:rPr>
              <w:t>Stage of innovation</w:t>
            </w:r>
          </w:p>
        </w:tc>
        <w:tc>
          <w:tcPr>
            <w:tcW w:w="905" w:type="pct"/>
            <w:shd w:val="clear" w:color="auto" w:fill="FFF2CC"/>
          </w:tcPr>
          <w:p w14:paraId="216CC576" w14:textId="77777777" w:rsidR="006E40C8" w:rsidRPr="00642CF0" w:rsidRDefault="006E40C8" w:rsidP="008F4576">
            <w:pPr>
              <w:tabs>
                <w:tab w:val="left" w:pos="2722"/>
              </w:tabs>
              <w:ind w:left="360"/>
              <w:contextualSpacing/>
              <w:rPr>
                <w:b/>
                <w:sz w:val="20"/>
                <w:szCs w:val="20"/>
              </w:rPr>
            </w:pPr>
            <w:r>
              <w:rPr>
                <w:b/>
                <w:sz w:val="20"/>
                <w:szCs w:val="20"/>
              </w:rPr>
              <w:t>Geographic scope (with location)</w:t>
            </w:r>
          </w:p>
        </w:tc>
      </w:tr>
      <w:tr w:rsidR="00791397" w14:paraId="47F7FC7B" w14:textId="77777777" w:rsidTr="00791397">
        <w:trPr>
          <w:trHeight w:val="32"/>
        </w:trPr>
        <w:tc>
          <w:tcPr>
            <w:tcW w:w="998" w:type="pct"/>
          </w:tcPr>
          <w:p w14:paraId="0252DCEF" w14:textId="77777777" w:rsidR="006E40C8" w:rsidRDefault="006E40C8" w:rsidP="008F4576">
            <w:pPr>
              <w:rPr>
                <w:sz w:val="20"/>
                <w:szCs w:val="20"/>
              </w:rPr>
            </w:pPr>
            <w:r>
              <w:rPr>
                <w:sz w:val="20"/>
                <w:szCs w:val="20"/>
              </w:rPr>
              <w:t>Please see indicator guidance for details</w:t>
            </w:r>
          </w:p>
        </w:tc>
        <w:tc>
          <w:tcPr>
            <w:tcW w:w="2040" w:type="pct"/>
          </w:tcPr>
          <w:p w14:paraId="3FF26403" w14:textId="77777777" w:rsidR="006E40C8" w:rsidRDefault="006E40C8" w:rsidP="008F4576">
            <w:pPr>
              <w:rPr>
                <w:sz w:val="20"/>
                <w:szCs w:val="20"/>
              </w:rPr>
            </w:pPr>
          </w:p>
        </w:tc>
        <w:tc>
          <w:tcPr>
            <w:tcW w:w="532" w:type="pct"/>
          </w:tcPr>
          <w:p w14:paraId="50F3A0DB" w14:textId="77777777" w:rsidR="006E40C8" w:rsidRDefault="006E40C8" w:rsidP="008F4576">
            <w:pPr>
              <w:rPr>
                <w:sz w:val="20"/>
                <w:szCs w:val="20"/>
              </w:rPr>
            </w:pPr>
            <w:r>
              <w:rPr>
                <w:sz w:val="20"/>
                <w:szCs w:val="20"/>
              </w:rPr>
              <w:t xml:space="preserve">e.g. genetic, </w:t>
            </w:r>
          </w:p>
        </w:tc>
        <w:tc>
          <w:tcPr>
            <w:tcW w:w="525" w:type="pct"/>
          </w:tcPr>
          <w:p w14:paraId="2D6ED344" w14:textId="45A26B28" w:rsidR="006E40C8" w:rsidRDefault="006E40C8" w:rsidP="008F4576">
            <w:pPr>
              <w:rPr>
                <w:sz w:val="20"/>
                <w:szCs w:val="20"/>
              </w:rPr>
            </w:pPr>
          </w:p>
        </w:tc>
        <w:tc>
          <w:tcPr>
            <w:tcW w:w="905" w:type="pct"/>
          </w:tcPr>
          <w:p w14:paraId="0FABAC27" w14:textId="77777777" w:rsidR="006E40C8" w:rsidRDefault="006E40C8" w:rsidP="008F4576">
            <w:pPr>
              <w:rPr>
                <w:sz w:val="20"/>
                <w:szCs w:val="20"/>
              </w:rPr>
            </w:pPr>
            <w:r>
              <w:rPr>
                <w:sz w:val="20"/>
                <w:szCs w:val="20"/>
              </w:rPr>
              <w:t>e.g. global, regional- West Africa, national- Philippines</w:t>
            </w:r>
          </w:p>
        </w:tc>
      </w:tr>
      <w:tr w:rsidR="00791397" w14:paraId="0AE70059" w14:textId="77777777" w:rsidTr="00791397">
        <w:trPr>
          <w:trHeight w:val="32"/>
        </w:trPr>
        <w:tc>
          <w:tcPr>
            <w:tcW w:w="998" w:type="pct"/>
          </w:tcPr>
          <w:p w14:paraId="0F9DC9E3" w14:textId="2A9CB3E1" w:rsidR="006E40C8" w:rsidRPr="00D36F84" w:rsidRDefault="00D36F84" w:rsidP="00D36F84">
            <w:pPr>
              <w:pStyle w:val="ListParagraph"/>
              <w:numPr>
                <w:ilvl w:val="0"/>
                <w:numId w:val="2"/>
              </w:numPr>
              <w:rPr>
                <w:sz w:val="20"/>
                <w:szCs w:val="20"/>
              </w:rPr>
            </w:pPr>
            <w:r>
              <w:rPr>
                <w:sz w:val="20"/>
                <w:szCs w:val="20"/>
              </w:rPr>
              <w:t>Speed breeding in lentil and chickpea to enhance rate of genetic gain</w:t>
            </w:r>
          </w:p>
        </w:tc>
        <w:tc>
          <w:tcPr>
            <w:tcW w:w="2040" w:type="pct"/>
          </w:tcPr>
          <w:p w14:paraId="3F180A27" w14:textId="7851992B" w:rsidR="00791397" w:rsidRDefault="00791397" w:rsidP="00791397">
            <w:pPr>
              <w:rPr>
                <w:color w:val="212121"/>
                <w:shd w:val="clear" w:color="auto" w:fill="FFFFFF"/>
              </w:rPr>
            </w:pPr>
            <w:r>
              <w:rPr>
                <w:color w:val="212121"/>
                <w:shd w:val="clear" w:color="auto" w:fill="FFFFFF"/>
              </w:rPr>
              <w:t>I</w:t>
            </w:r>
            <w:r w:rsidRPr="00791397">
              <w:rPr>
                <w:color w:val="212121"/>
                <w:shd w:val="clear" w:color="auto" w:fill="FFFFFF"/>
              </w:rPr>
              <w:t>n order to accelerate the genetic gain, chickpea and lentil were grown at high density under an extended photoperiod of 22 h light/25.5 °C and 2 h dark/15 °C in a growth chamber. This protocol accelerated the growth with plants taking 31 and 39 days after sowing for the first flowers and pods. Pods at physiological maturity were harvested 64 days after sowing. The harvested plants</w:t>
            </w:r>
            <w:r>
              <w:rPr>
                <w:color w:val="212121"/>
                <w:shd w:val="clear" w:color="auto" w:fill="FFFFFF"/>
              </w:rPr>
              <w:t xml:space="preserve"> </w:t>
            </w:r>
            <w:r w:rsidRPr="00791397">
              <w:rPr>
                <w:color w:val="212121"/>
                <w:shd w:val="clear" w:color="auto" w:fill="FFFFFF"/>
              </w:rPr>
              <w:t>were oven-dried (30-35°C for 2 days) and planted using the above-described protocol to obtain next generation seeds and thus speed up the generation turnover. This protocol will allow 4-5 generations per year instead of only one or two in conventional greenhouse-based methods (center level).</w:t>
            </w:r>
          </w:p>
          <w:p w14:paraId="6D6DF729" w14:textId="2EAFD981" w:rsidR="00791397" w:rsidRPr="00791397" w:rsidRDefault="00791397" w:rsidP="00791397">
            <w:pPr>
              <w:rPr>
                <w:sz w:val="20"/>
                <w:szCs w:val="20"/>
              </w:rPr>
            </w:pPr>
            <w:r>
              <w:rPr>
                <w:color w:val="212121"/>
                <w:shd w:val="clear" w:color="auto" w:fill="FFFFFF"/>
              </w:rPr>
              <w:t>(CoA 4.2 report)</w:t>
            </w:r>
          </w:p>
          <w:p w14:paraId="3356BCB8" w14:textId="77777777" w:rsidR="006E40C8" w:rsidRDefault="006E40C8" w:rsidP="008F4576">
            <w:pPr>
              <w:rPr>
                <w:sz w:val="20"/>
                <w:szCs w:val="20"/>
              </w:rPr>
            </w:pPr>
          </w:p>
        </w:tc>
        <w:tc>
          <w:tcPr>
            <w:tcW w:w="532" w:type="pct"/>
          </w:tcPr>
          <w:p w14:paraId="21929B9D" w14:textId="3F41AA8B" w:rsidR="006E40C8" w:rsidRDefault="00D36F84" w:rsidP="008F4576">
            <w:pPr>
              <w:rPr>
                <w:sz w:val="20"/>
                <w:szCs w:val="20"/>
              </w:rPr>
            </w:pPr>
            <w:r>
              <w:rPr>
                <w:sz w:val="20"/>
                <w:szCs w:val="20"/>
              </w:rPr>
              <w:t xml:space="preserve">Genetic </w:t>
            </w:r>
          </w:p>
        </w:tc>
        <w:tc>
          <w:tcPr>
            <w:tcW w:w="525" w:type="pct"/>
          </w:tcPr>
          <w:p w14:paraId="1068956D" w14:textId="02F5B19B" w:rsidR="006E40C8" w:rsidRDefault="00D36F84" w:rsidP="008F4576">
            <w:pPr>
              <w:rPr>
                <w:sz w:val="20"/>
                <w:szCs w:val="20"/>
              </w:rPr>
            </w:pPr>
            <w:r>
              <w:rPr>
                <w:sz w:val="20"/>
                <w:szCs w:val="20"/>
              </w:rPr>
              <w:t>Stage 1</w:t>
            </w:r>
          </w:p>
        </w:tc>
        <w:tc>
          <w:tcPr>
            <w:tcW w:w="905" w:type="pct"/>
          </w:tcPr>
          <w:p w14:paraId="173943B4" w14:textId="2359B7F8" w:rsidR="006E40C8" w:rsidRDefault="00D36F84" w:rsidP="008F4576">
            <w:pPr>
              <w:rPr>
                <w:sz w:val="20"/>
                <w:szCs w:val="20"/>
              </w:rPr>
            </w:pPr>
            <w:r>
              <w:rPr>
                <w:sz w:val="20"/>
                <w:szCs w:val="20"/>
              </w:rPr>
              <w:t xml:space="preserve">Global </w:t>
            </w:r>
          </w:p>
        </w:tc>
      </w:tr>
      <w:tr w:rsidR="00791397" w14:paraId="292D6E2D" w14:textId="77777777" w:rsidTr="00791397">
        <w:trPr>
          <w:trHeight w:val="32"/>
        </w:trPr>
        <w:tc>
          <w:tcPr>
            <w:tcW w:w="998" w:type="pct"/>
          </w:tcPr>
          <w:p w14:paraId="5014810E" w14:textId="1DE6A057" w:rsidR="00D36F84" w:rsidRPr="00D36F84" w:rsidRDefault="00066BB8" w:rsidP="00D36F84">
            <w:pPr>
              <w:pStyle w:val="ListParagraph"/>
              <w:numPr>
                <w:ilvl w:val="0"/>
                <w:numId w:val="2"/>
              </w:numPr>
              <w:rPr>
                <w:sz w:val="20"/>
                <w:szCs w:val="20"/>
              </w:rPr>
            </w:pPr>
            <w:r>
              <w:rPr>
                <w:sz w:val="20"/>
                <w:szCs w:val="20"/>
              </w:rPr>
              <w:t>Crop Network Groups (CNGs) as a platform for public-private partnerships (PPPs)</w:t>
            </w:r>
          </w:p>
        </w:tc>
        <w:tc>
          <w:tcPr>
            <w:tcW w:w="2040" w:type="pct"/>
          </w:tcPr>
          <w:p w14:paraId="7755C544" w14:textId="77777777" w:rsidR="00066BB8" w:rsidRDefault="00066BB8" w:rsidP="00066BB8">
            <w:pPr>
              <w:spacing w:after="160" w:line="259" w:lineRule="auto"/>
              <w:rPr>
                <w:rFonts w:eastAsia="Calibri"/>
                <w:sz w:val="20"/>
                <w:szCs w:val="20"/>
                <w:lang w:val="en-IN"/>
              </w:rPr>
            </w:pPr>
            <w:r w:rsidRPr="005F62AA">
              <w:rPr>
                <w:rFonts w:eastAsia="Calibri"/>
                <w:sz w:val="20"/>
                <w:szCs w:val="20"/>
                <w:lang w:val="en-IN"/>
              </w:rPr>
              <w:t xml:space="preserve">The Crop Network Group (CNG) is a crop improvement network of multi-disciplinary teams from NARS, CG, Advanced Research Institutes (ARIs), NGOs, private seed sector and processing sector. CNG is a platform for product design, strategy, development, testing, </w:t>
            </w:r>
            <w:r w:rsidRPr="005F62AA">
              <w:rPr>
                <w:rFonts w:eastAsia="Calibri"/>
                <w:sz w:val="20"/>
                <w:szCs w:val="20"/>
                <w:lang w:val="en-IN"/>
              </w:rPr>
              <w:lastRenderedPageBreak/>
              <w:t>advancement and delivery. The CNG will also be a knowledge-sharing platform, facilitating continuous capacity building.</w:t>
            </w:r>
          </w:p>
          <w:p w14:paraId="3DA7CE80" w14:textId="307DAE6D" w:rsidR="00D36F84" w:rsidRDefault="00066BB8" w:rsidP="00066BB8">
            <w:pPr>
              <w:rPr>
                <w:sz w:val="20"/>
                <w:szCs w:val="20"/>
              </w:rPr>
            </w:pPr>
            <w:r>
              <w:rPr>
                <w:rFonts w:eastAsia="Calibri"/>
                <w:sz w:val="20"/>
                <w:szCs w:val="20"/>
                <w:lang w:val="en-IN"/>
              </w:rPr>
              <w:t>(Innovation fund report)</w:t>
            </w:r>
          </w:p>
        </w:tc>
        <w:tc>
          <w:tcPr>
            <w:tcW w:w="532" w:type="pct"/>
          </w:tcPr>
          <w:p w14:paraId="69A9EB39" w14:textId="77B3991E" w:rsidR="00D36F84" w:rsidRDefault="00D36F84" w:rsidP="008F4576">
            <w:pPr>
              <w:rPr>
                <w:sz w:val="20"/>
                <w:szCs w:val="20"/>
              </w:rPr>
            </w:pPr>
            <w:r>
              <w:rPr>
                <w:sz w:val="20"/>
                <w:szCs w:val="20"/>
              </w:rPr>
              <w:lastRenderedPageBreak/>
              <w:t>Genetic</w:t>
            </w:r>
          </w:p>
        </w:tc>
        <w:tc>
          <w:tcPr>
            <w:tcW w:w="525" w:type="pct"/>
          </w:tcPr>
          <w:p w14:paraId="36B1EB09" w14:textId="10D5CFE3" w:rsidR="00D36F84" w:rsidRDefault="00D36F84" w:rsidP="008F4576">
            <w:pPr>
              <w:rPr>
                <w:sz w:val="20"/>
                <w:szCs w:val="20"/>
              </w:rPr>
            </w:pPr>
            <w:r>
              <w:rPr>
                <w:sz w:val="20"/>
                <w:szCs w:val="20"/>
              </w:rPr>
              <w:t>Stage 1</w:t>
            </w:r>
          </w:p>
        </w:tc>
        <w:tc>
          <w:tcPr>
            <w:tcW w:w="905" w:type="pct"/>
          </w:tcPr>
          <w:p w14:paraId="62927F60" w14:textId="375A6ECE" w:rsidR="00D36F84" w:rsidRDefault="00D36F84" w:rsidP="008F4576">
            <w:pPr>
              <w:rPr>
                <w:sz w:val="20"/>
                <w:szCs w:val="20"/>
              </w:rPr>
            </w:pPr>
            <w:r>
              <w:rPr>
                <w:sz w:val="20"/>
                <w:szCs w:val="20"/>
              </w:rPr>
              <w:t xml:space="preserve">Global </w:t>
            </w:r>
          </w:p>
        </w:tc>
      </w:tr>
      <w:tr w:rsidR="00791397" w14:paraId="217B9026" w14:textId="77777777" w:rsidTr="00791397">
        <w:trPr>
          <w:trHeight w:val="32"/>
        </w:trPr>
        <w:tc>
          <w:tcPr>
            <w:tcW w:w="998" w:type="pct"/>
          </w:tcPr>
          <w:p w14:paraId="79C55288" w14:textId="08F58972" w:rsidR="00D36F84" w:rsidRPr="00066BB8" w:rsidRDefault="00D36F84" w:rsidP="00066BB8">
            <w:pPr>
              <w:rPr>
                <w:sz w:val="20"/>
                <w:szCs w:val="20"/>
              </w:rPr>
            </w:pPr>
          </w:p>
        </w:tc>
        <w:tc>
          <w:tcPr>
            <w:tcW w:w="2040" w:type="pct"/>
          </w:tcPr>
          <w:p w14:paraId="21FC22B2" w14:textId="1CF82951" w:rsidR="00D36F84" w:rsidRDefault="00D36F84" w:rsidP="00066BB8">
            <w:pPr>
              <w:rPr>
                <w:sz w:val="20"/>
                <w:szCs w:val="20"/>
              </w:rPr>
            </w:pPr>
          </w:p>
        </w:tc>
        <w:tc>
          <w:tcPr>
            <w:tcW w:w="532" w:type="pct"/>
          </w:tcPr>
          <w:p w14:paraId="60CBC0BB" w14:textId="4F1C3A4D" w:rsidR="00D36F84" w:rsidRDefault="00D36F84" w:rsidP="008F4576">
            <w:pPr>
              <w:rPr>
                <w:sz w:val="20"/>
                <w:szCs w:val="20"/>
              </w:rPr>
            </w:pPr>
          </w:p>
        </w:tc>
        <w:tc>
          <w:tcPr>
            <w:tcW w:w="525" w:type="pct"/>
          </w:tcPr>
          <w:p w14:paraId="03ADBD60" w14:textId="75516853" w:rsidR="00D36F84" w:rsidRDefault="00D36F84" w:rsidP="008F4576">
            <w:pPr>
              <w:rPr>
                <w:sz w:val="20"/>
                <w:szCs w:val="20"/>
              </w:rPr>
            </w:pPr>
          </w:p>
        </w:tc>
        <w:tc>
          <w:tcPr>
            <w:tcW w:w="905" w:type="pct"/>
          </w:tcPr>
          <w:p w14:paraId="3B46AD85" w14:textId="609954A7" w:rsidR="00D36F84" w:rsidRDefault="00D36F84" w:rsidP="008F4576">
            <w:pPr>
              <w:rPr>
                <w:sz w:val="20"/>
                <w:szCs w:val="20"/>
              </w:rPr>
            </w:pPr>
          </w:p>
        </w:tc>
      </w:tr>
    </w:tbl>
    <w:p w14:paraId="5B051366" w14:textId="77777777" w:rsidR="006E40C8" w:rsidRDefault="006E40C8" w:rsidP="006E40C8">
      <w:pPr>
        <w:jc w:val="both"/>
      </w:pPr>
    </w:p>
    <w:p w14:paraId="6CC60B51" w14:textId="77777777" w:rsidR="006E40C8" w:rsidRDefault="006E40C8" w:rsidP="006E40C8">
      <w:pPr>
        <w:jc w:val="both"/>
      </w:pPr>
      <w:r>
        <w:t>Table 5: List of Outcome Cases submitted by CoA Leaders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00"/>
        <w:gridCol w:w="10876"/>
      </w:tblGrid>
      <w:tr w:rsidR="006E40C8" w:rsidRPr="00A418A6" w14:paraId="503228CC" w14:textId="77777777" w:rsidTr="008F4576">
        <w:tc>
          <w:tcPr>
            <w:tcW w:w="1164" w:type="pct"/>
            <w:shd w:val="clear" w:color="auto" w:fill="FFF2CC"/>
          </w:tcPr>
          <w:p w14:paraId="04AD0569" w14:textId="77777777" w:rsidR="006E40C8" w:rsidRDefault="006E40C8" w:rsidP="008F4576">
            <w:pPr>
              <w:spacing w:before="100"/>
              <w:rPr>
                <w:sz w:val="20"/>
                <w:szCs w:val="20"/>
              </w:rPr>
            </w:pPr>
            <w:r>
              <w:rPr>
                <w:b/>
                <w:sz w:val="20"/>
                <w:szCs w:val="20"/>
              </w:rPr>
              <w:t>Outcome Case</w:t>
            </w:r>
          </w:p>
        </w:tc>
        <w:tc>
          <w:tcPr>
            <w:tcW w:w="3836" w:type="pct"/>
            <w:shd w:val="clear" w:color="auto" w:fill="FFF2CC"/>
          </w:tcPr>
          <w:p w14:paraId="7CB53EAB" w14:textId="77777777" w:rsidR="006E40C8" w:rsidRPr="00642CF0" w:rsidRDefault="006E40C8" w:rsidP="008F4576">
            <w:pPr>
              <w:tabs>
                <w:tab w:val="left" w:pos="2722"/>
              </w:tabs>
              <w:ind w:left="360"/>
              <w:contextualSpacing/>
              <w:rPr>
                <w:b/>
                <w:sz w:val="20"/>
                <w:szCs w:val="20"/>
              </w:rPr>
            </w:pPr>
            <w:r>
              <w:rPr>
                <w:b/>
                <w:sz w:val="20"/>
                <w:szCs w:val="20"/>
              </w:rPr>
              <w:t>Evidence</w:t>
            </w:r>
          </w:p>
        </w:tc>
      </w:tr>
      <w:tr w:rsidR="006E40C8" w14:paraId="7C5829E9" w14:textId="77777777" w:rsidTr="008F4576">
        <w:trPr>
          <w:trHeight w:val="32"/>
        </w:trPr>
        <w:tc>
          <w:tcPr>
            <w:tcW w:w="1164" w:type="pct"/>
          </w:tcPr>
          <w:p w14:paraId="2F53EB8F" w14:textId="77777777" w:rsidR="006E40C8" w:rsidRDefault="006E40C8" w:rsidP="008F4576">
            <w:pPr>
              <w:rPr>
                <w:sz w:val="20"/>
                <w:szCs w:val="20"/>
              </w:rPr>
            </w:pPr>
            <w:r>
              <w:rPr>
                <w:sz w:val="20"/>
                <w:szCs w:val="20"/>
              </w:rPr>
              <w:t>Title</w:t>
            </w:r>
          </w:p>
        </w:tc>
        <w:tc>
          <w:tcPr>
            <w:tcW w:w="3836" w:type="pct"/>
          </w:tcPr>
          <w:p w14:paraId="4180916F" w14:textId="21022D92" w:rsidR="006E40C8" w:rsidRDefault="006E40C8" w:rsidP="008F4576">
            <w:pPr>
              <w:rPr>
                <w:sz w:val="20"/>
                <w:szCs w:val="20"/>
              </w:rPr>
            </w:pPr>
            <w:r>
              <w:rPr>
                <w:sz w:val="20"/>
                <w:szCs w:val="20"/>
              </w:rPr>
              <w:t xml:space="preserve">Please add the MEL Link if the Case was submitted in MEL In case not submitted in MEL please upload </w:t>
            </w:r>
            <w:r w:rsidR="00601D5E">
              <w:rPr>
                <w:sz w:val="20"/>
                <w:szCs w:val="20"/>
              </w:rPr>
              <w:t>together</w:t>
            </w:r>
            <w:r>
              <w:rPr>
                <w:sz w:val="20"/>
                <w:szCs w:val="20"/>
              </w:rPr>
              <w:t xml:space="preserve"> with this Report.</w:t>
            </w:r>
          </w:p>
        </w:tc>
      </w:tr>
      <w:tr w:rsidR="006E40C8" w14:paraId="2AA7FB73" w14:textId="77777777" w:rsidTr="008F4576">
        <w:trPr>
          <w:trHeight w:val="32"/>
        </w:trPr>
        <w:tc>
          <w:tcPr>
            <w:tcW w:w="1164" w:type="pct"/>
          </w:tcPr>
          <w:p w14:paraId="2FB69561" w14:textId="7AD18DEA" w:rsidR="00791397" w:rsidRPr="00791397" w:rsidRDefault="00601D5E" w:rsidP="00791397">
            <w:pPr>
              <w:rPr>
                <w:sz w:val="20"/>
                <w:szCs w:val="20"/>
              </w:rPr>
            </w:pPr>
            <w:r>
              <w:rPr>
                <w:sz w:val="20"/>
                <w:szCs w:val="20"/>
              </w:rPr>
              <w:t xml:space="preserve">1. </w:t>
            </w:r>
            <w:proofErr w:type="spellStart"/>
            <w:r w:rsidR="00791397">
              <w:rPr>
                <w:color w:val="212121"/>
                <w:sz w:val="20"/>
                <w:szCs w:val="20"/>
                <w:shd w:val="clear" w:color="auto" w:fill="FFFFFF"/>
              </w:rPr>
              <w:t>Biof</w:t>
            </w:r>
            <w:r w:rsidR="00791397" w:rsidRPr="00791397">
              <w:rPr>
                <w:color w:val="212121"/>
                <w:sz w:val="20"/>
                <w:szCs w:val="20"/>
                <w:shd w:val="clear" w:color="auto" w:fill="FFFFFF"/>
              </w:rPr>
              <w:t>o</w:t>
            </w:r>
            <w:r w:rsidR="00791397">
              <w:rPr>
                <w:color w:val="212121"/>
                <w:sz w:val="20"/>
                <w:szCs w:val="20"/>
                <w:shd w:val="clear" w:color="auto" w:fill="FFFFFF"/>
              </w:rPr>
              <w:t>r</w:t>
            </w:r>
            <w:r w:rsidR="00791397" w:rsidRPr="00791397">
              <w:rPr>
                <w:color w:val="212121"/>
                <w:sz w:val="20"/>
                <w:szCs w:val="20"/>
                <w:shd w:val="clear" w:color="auto" w:fill="FFFFFF"/>
              </w:rPr>
              <w:t>tified</w:t>
            </w:r>
            <w:proofErr w:type="spellEnd"/>
            <w:r w:rsidR="00791397" w:rsidRPr="00791397">
              <w:rPr>
                <w:color w:val="212121"/>
                <w:sz w:val="20"/>
                <w:szCs w:val="20"/>
                <w:shd w:val="clear" w:color="auto" w:fill="FFFFFF"/>
              </w:rPr>
              <w:t xml:space="preserve"> GLDC crops commodities for nutritional security.</w:t>
            </w:r>
          </w:p>
          <w:p w14:paraId="5D4CC0A3" w14:textId="73557000" w:rsidR="006E40C8" w:rsidRDefault="006E40C8" w:rsidP="00601D5E">
            <w:pPr>
              <w:rPr>
                <w:sz w:val="20"/>
                <w:szCs w:val="20"/>
              </w:rPr>
            </w:pPr>
          </w:p>
        </w:tc>
        <w:tc>
          <w:tcPr>
            <w:tcW w:w="3836" w:type="pct"/>
          </w:tcPr>
          <w:p w14:paraId="64771F91" w14:textId="77777777" w:rsidR="00601D5E" w:rsidRPr="005F62AA" w:rsidRDefault="00601D5E" w:rsidP="008F4576">
            <w:pPr>
              <w:rPr>
                <w:sz w:val="20"/>
                <w:szCs w:val="20"/>
              </w:rPr>
            </w:pPr>
          </w:p>
          <w:p w14:paraId="71ABADC5" w14:textId="2BB60AB0" w:rsidR="005F62AA" w:rsidRDefault="00791397" w:rsidP="008F4576">
            <w:pPr>
              <w:rPr>
                <w:sz w:val="20"/>
                <w:szCs w:val="20"/>
              </w:rPr>
            </w:pPr>
            <w:hyperlink r:id="rId20" w:history="1">
              <w:r w:rsidR="005F62AA" w:rsidRPr="003558D5">
                <w:rPr>
                  <w:rStyle w:val="Hyperlink"/>
                  <w:sz w:val="20"/>
                  <w:szCs w:val="20"/>
                </w:rPr>
                <w:t>https://mel.cgiar.org/preplanning/relatedfiles/id/482/entity/actionsite</w:t>
              </w:r>
            </w:hyperlink>
          </w:p>
          <w:p w14:paraId="648703C1" w14:textId="1E6B9202" w:rsidR="005F62AA" w:rsidRPr="005F62AA" w:rsidRDefault="005F62AA" w:rsidP="008F4576">
            <w:pPr>
              <w:rPr>
                <w:sz w:val="20"/>
                <w:szCs w:val="20"/>
              </w:rPr>
            </w:pPr>
          </w:p>
        </w:tc>
      </w:tr>
      <w:tr w:rsidR="00601D5E" w14:paraId="2CA0171A" w14:textId="77777777" w:rsidTr="008F4576">
        <w:trPr>
          <w:trHeight w:val="32"/>
        </w:trPr>
        <w:tc>
          <w:tcPr>
            <w:tcW w:w="1164" w:type="pct"/>
          </w:tcPr>
          <w:p w14:paraId="35DBA70D" w14:textId="2474FD32" w:rsidR="00601D5E" w:rsidRDefault="00066BB8" w:rsidP="008F4576">
            <w:pPr>
              <w:rPr>
                <w:sz w:val="20"/>
                <w:szCs w:val="20"/>
              </w:rPr>
            </w:pPr>
            <w:r>
              <w:rPr>
                <w:sz w:val="20"/>
                <w:szCs w:val="20"/>
              </w:rPr>
              <w:t>2</w:t>
            </w:r>
            <w:r w:rsidR="00601D5E">
              <w:rPr>
                <w:sz w:val="20"/>
                <w:szCs w:val="20"/>
              </w:rPr>
              <w:t xml:space="preserve">. </w:t>
            </w:r>
            <w:r w:rsidR="00601D5E" w:rsidRPr="00601D5E">
              <w:rPr>
                <w:sz w:val="20"/>
                <w:szCs w:val="20"/>
              </w:rPr>
              <w:t>Strengthening quality seed production and delivery of improved varieties of GLDC crops for better smallholder livelihoods</w:t>
            </w:r>
          </w:p>
        </w:tc>
        <w:tc>
          <w:tcPr>
            <w:tcW w:w="3836" w:type="pct"/>
          </w:tcPr>
          <w:p w14:paraId="252A2F7C" w14:textId="5A78E13E" w:rsidR="005F62AA" w:rsidRDefault="00791397" w:rsidP="00601D5E">
            <w:pPr>
              <w:rPr>
                <w:sz w:val="20"/>
                <w:szCs w:val="20"/>
              </w:rPr>
            </w:pPr>
            <w:hyperlink r:id="rId21" w:history="1">
              <w:r w:rsidR="005F62AA" w:rsidRPr="003558D5">
                <w:rPr>
                  <w:rStyle w:val="Hyperlink"/>
                  <w:sz w:val="20"/>
                  <w:szCs w:val="20"/>
                </w:rPr>
                <w:t>https://mel.cgiar.org/preplanning/relatedfiles/id/484/entity/actionsite</w:t>
              </w:r>
            </w:hyperlink>
          </w:p>
          <w:p w14:paraId="46A46AC0" w14:textId="58D5B0C7" w:rsidR="005F62AA" w:rsidRDefault="005F62AA" w:rsidP="00601D5E">
            <w:pPr>
              <w:rPr>
                <w:sz w:val="20"/>
                <w:szCs w:val="20"/>
              </w:rPr>
            </w:pPr>
          </w:p>
        </w:tc>
      </w:tr>
    </w:tbl>
    <w:p w14:paraId="6AF608C1" w14:textId="77777777" w:rsidR="002B0A39" w:rsidRDefault="002B0A39">
      <w:bookmarkStart w:id="40" w:name="_fa3uobz81brd" w:colFirst="0" w:colLast="0"/>
      <w:bookmarkStart w:id="41" w:name="_opeb30bjaxql" w:colFirst="0" w:colLast="0"/>
      <w:bookmarkStart w:id="42" w:name="_t0rsms71kfhu" w:colFirst="0" w:colLast="0"/>
      <w:bookmarkStart w:id="43" w:name="_xvir7l" w:colFirst="0" w:colLast="0"/>
      <w:bookmarkStart w:id="44" w:name="_m8wfduvy79f1" w:colFirst="0" w:colLast="0"/>
      <w:bookmarkStart w:id="45" w:name="_4h042r0" w:colFirst="0" w:colLast="0"/>
      <w:bookmarkStart w:id="46" w:name="_buktksmnolrh" w:colFirst="0" w:colLast="0"/>
      <w:bookmarkEnd w:id="36"/>
      <w:bookmarkEnd w:id="37"/>
      <w:bookmarkEnd w:id="38"/>
      <w:bookmarkEnd w:id="39"/>
      <w:bookmarkEnd w:id="40"/>
      <w:bookmarkEnd w:id="41"/>
      <w:bookmarkEnd w:id="42"/>
      <w:bookmarkEnd w:id="43"/>
      <w:bookmarkEnd w:id="44"/>
      <w:bookmarkEnd w:id="45"/>
      <w:bookmarkEnd w:id="46"/>
    </w:p>
    <w:sectPr w:rsidR="002B0A39" w:rsidSect="006E40C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0CC3B" w14:textId="77777777" w:rsidR="00584262" w:rsidRDefault="00584262">
      <w:r>
        <w:separator/>
      </w:r>
    </w:p>
  </w:endnote>
  <w:endnote w:type="continuationSeparator" w:id="0">
    <w:p w14:paraId="1CB5B040" w14:textId="77777777" w:rsidR="00584262" w:rsidRDefault="0058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0FB13" w14:textId="0AD3C778" w:rsidR="00FD6E57" w:rsidRDefault="00FD6E57" w:rsidP="008F4576">
    <w:pPr>
      <w:pStyle w:val="Footer"/>
      <w:tabs>
        <w:tab w:val="clear" w:pos="4680"/>
        <w:tab w:val="clear" w:pos="9360"/>
        <w:tab w:val="left" w:pos="1848"/>
      </w:tabs>
      <w:jc w:val="center"/>
    </w:pPr>
    <w:r>
      <w:t xml:space="preserve">Page  </w:t>
    </w:r>
    <w:r>
      <w:fldChar w:fldCharType="begin"/>
    </w:r>
    <w:r>
      <w:instrText xml:space="preserve"> PAGE   \* MERGEFORMAT </w:instrText>
    </w:r>
    <w:r>
      <w:fldChar w:fldCharType="separate"/>
    </w:r>
    <w:r w:rsidR="00791397">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DF782" w14:textId="77777777" w:rsidR="00584262" w:rsidRDefault="00584262">
      <w:r>
        <w:separator/>
      </w:r>
    </w:p>
  </w:footnote>
  <w:footnote w:type="continuationSeparator" w:id="0">
    <w:p w14:paraId="3E46AC81" w14:textId="77777777" w:rsidR="00584262" w:rsidRDefault="005842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983"/>
    <w:multiLevelType w:val="hybridMultilevel"/>
    <w:tmpl w:val="F90AB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A6451F"/>
    <w:multiLevelType w:val="hybridMultilevel"/>
    <w:tmpl w:val="57D61EE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C8"/>
    <w:rsid w:val="00022D77"/>
    <w:rsid w:val="00062976"/>
    <w:rsid w:val="00064EE7"/>
    <w:rsid w:val="00066BB8"/>
    <w:rsid w:val="00081381"/>
    <w:rsid w:val="000A6C26"/>
    <w:rsid w:val="000B6A8A"/>
    <w:rsid w:val="000E25DA"/>
    <w:rsid w:val="0016047C"/>
    <w:rsid w:val="00175EBD"/>
    <w:rsid w:val="001969A3"/>
    <w:rsid w:val="001C058F"/>
    <w:rsid w:val="001E2390"/>
    <w:rsid w:val="002028B1"/>
    <w:rsid w:val="002120C3"/>
    <w:rsid w:val="0021614E"/>
    <w:rsid w:val="002333A1"/>
    <w:rsid w:val="00256611"/>
    <w:rsid w:val="00266929"/>
    <w:rsid w:val="002706C7"/>
    <w:rsid w:val="002A396D"/>
    <w:rsid w:val="002A4993"/>
    <w:rsid w:val="002B0A39"/>
    <w:rsid w:val="002F2D45"/>
    <w:rsid w:val="00314C8C"/>
    <w:rsid w:val="00323A8D"/>
    <w:rsid w:val="003435A4"/>
    <w:rsid w:val="0035320B"/>
    <w:rsid w:val="00395013"/>
    <w:rsid w:val="003970CA"/>
    <w:rsid w:val="003B515A"/>
    <w:rsid w:val="003D10AA"/>
    <w:rsid w:val="003D226D"/>
    <w:rsid w:val="003E3282"/>
    <w:rsid w:val="003F71A8"/>
    <w:rsid w:val="0041164A"/>
    <w:rsid w:val="0043343C"/>
    <w:rsid w:val="004638C5"/>
    <w:rsid w:val="00473066"/>
    <w:rsid w:val="00480E1B"/>
    <w:rsid w:val="00487623"/>
    <w:rsid w:val="00505BB4"/>
    <w:rsid w:val="005209C6"/>
    <w:rsid w:val="00534529"/>
    <w:rsid w:val="0057325C"/>
    <w:rsid w:val="00584262"/>
    <w:rsid w:val="005962A6"/>
    <w:rsid w:val="005A497F"/>
    <w:rsid w:val="005F22E5"/>
    <w:rsid w:val="005F62AA"/>
    <w:rsid w:val="00601D5E"/>
    <w:rsid w:val="00657940"/>
    <w:rsid w:val="00697C11"/>
    <w:rsid w:val="006A7CCD"/>
    <w:rsid w:val="006D678F"/>
    <w:rsid w:val="006E40C8"/>
    <w:rsid w:val="006E5498"/>
    <w:rsid w:val="00716C6A"/>
    <w:rsid w:val="00723212"/>
    <w:rsid w:val="007234E4"/>
    <w:rsid w:val="0076759C"/>
    <w:rsid w:val="00775223"/>
    <w:rsid w:val="007768B5"/>
    <w:rsid w:val="00791397"/>
    <w:rsid w:val="007950E4"/>
    <w:rsid w:val="007C1FDA"/>
    <w:rsid w:val="007D4968"/>
    <w:rsid w:val="007E387B"/>
    <w:rsid w:val="007E4049"/>
    <w:rsid w:val="007F2E7B"/>
    <w:rsid w:val="0084098A"/>
    <w:rsid w:val="00870A80"/>
    <w:rsid w:val="008F21B4"/>
    <w:rsid w:val="008F4576"/>
    <w:rsid w:val="008F705B"/>
    <w:rsid w:val="00906CB1"/>
    <w:rsid w:val="00915A52"/>
    <w:rsid w:val="00934BC1"/>
    <w:rsid w:val="00966AFB"/>
    <w:rsid w:val="009D5C70"/>
    <w:rsid w:val="009E294C"/>
    <w:rsid w:val="009F5236"/>
    <w:rsid w:val="00A04227"/>
    <w:rsid w:val="00A60E9D"/>
    <w:rsid w:val="00A710B4"/>
    <w:rsid w:val="00A93402"/>
    <w:rsid w:val="00A9781B"/>
    <w:rsid w:val="00AB1EDA"/>
    <w:rsid w:val="00AC6D5F"/>
    <w:rsid w:val="00AE0DC0"/>
    <w:rsid w:val="00B764DC"/>
    <w:rsid w:val="00BF3C3D"/>
    <w:rsid w:val="00C333E0"/>
    <w:rsid w:val="00CA14C9"/>
    <w:rsid w:val="00D10A44"/>
    <w:rsid w:val="00D1407D"/>
    <w:rsid w:val="00D36F84"/>
    <w:rsid w:val="00DF5088"/>
    <w:rsid w:val="00E63EF4"/>
    <w:rsid w:val="00E70712"/>
    <w:rsid w:val="00EB16FA"/>
    <w:rsid w:val="00ED643F"/>
    <w:rsid w:val="00FD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9E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character" w:styleId="FollowedHyperlink">
    <w:name w:val="FollowedHyperlink"/>
    <w:basedOn w:val="DefaultParagraphFont"/>
    <w:uiPriority w:val="99"/>
    <w:semiHidden/>
    <w:unhideWhenUsed/>
    <w:rsid w:val="00934BC1"/>
    <w:rPr>
      <w:color w:val="954F72" w:themeColor="followedHyperlink"/>
      <w:u w:val="single"/>
    </w:rPr>
  </w:style>
  <w:style w:type="character" w:styleId="CommentReference">
    <w:name w:val="annotation reference"/>
    <w:basedOn w:val="DefaultParagraphFont"/>
    <w:uiPriority w:val="99"/>
    <w:semiHidden/>
    <w:unhideWhenUsed/>
    <w:rsid w:val="00934BC1"/>
    <w:rPr>
      <w:sz w:val="16"/>
      <w:szCs w:val="16"/>
    </w:rPr>
  </w:style>
  <w:style w:type="paragraph" w:styleId="CommentText">
    <w:name w:val="annotation text"/>
    <w:basedOn w:val="Normal"/>
    <w:link w:val="CommentTextChar"/>
    <w:uiPriority w:val="99"/>
    <w:semiHidden/>
    <w:unhideWhenUsed/>
    <w:rsid w:val="00934BC1"/>
    <w:rPr>
      <w:sz w:val="20"/>
      <w:szCs w:val="20"/>
    </w:rPr>
  </w:style>
  <w:style w:type="character" w:customStyle="1" w:styleId="CommentTextChar">
    <w:name w:val="Comment Text Char"/>
    <w:basedOn w:val="DefaultParagraphFont"/>
    <w:link w:val="CommentText"/>
    <w:uiPriority w:val="99"/>
    <w:semiHidden/>
    <w:rsid w:val="00934B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4BC1"/>
    <w:rPr>
      <w:b/>
      <w:bCs/>
    </w:rPr>
  </w:style>
  <w:style w:type="character" w:customStyle="1" w:styleId="CommentSubjectChar">
    <w:name w:val="Comment Subject Char"/>
    <w:basedOn w:val="CommentTextChar"/>
    <w:link w:val="CommentSubject"/>
    <w:uiPriority w:val="99"/>
    <w:semiHidden/>
    <w:rsid w:val="00934B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4BC1"/>
    <w:rPr>
      <w:rFonts w:ascii="Tahoma" w:hAnsi="Tahoma" w:cs="Tahoma"/>
      <w:sz w:val="16"/>
      <w:szCs w:val="16"/>
    </w:rPr>
  </w:style>
  <w:style w:type="character" w:customStyle="1" w:styleId="BalloonTextChar">
    <w:name w:val="Balloon Text Char"/>
    <w:basedOn w:val="DefaultParagraphFont"/>
    <w:link w:val="BalloonText"/>
    <w:uiPriority w:val="99"/>
    <w:semiHidden/>
    <w:rsid w:val="00934BC1"/>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0B6A8A"/>
    <w:rPr>
      <w:color w:val="605E5C"/>
      <w:shd w:val="clear" w:color="auto" w:fill="E1DFDD"/>
    </w:rPr>
  </w:style>
  <w:style w:type="paragraph" w:styleId="ListParagraph">
    <w:name w:val="List Paragraph"/>
    <w:basedOn w:val="Normal"/>
    <w:uiPriority w:val="34"/>
    <w:qFormat/>
    <w:rsid w:val="002161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character" w:styleId="FollowedHyperlink">
    <w:name w:val="FollowedHyperlink"/>
    <w:basedOn w:val="DefaultParagraphFont"/>
    <w:uiPriority w:val="99"/>
    <w:semiHidden/>
    <w:unhideWhenUsed/>
    <w:rsid w:val="00934BC1"/>
    <w:rPr>
      <w:color w:val="954F72" w:themeColor="followedHyperlink"/>
      <w:u w:val="single"/>
    </w:rPr>
  </w:style>
  <w:style w:type="character" w:styleId="CommentReference">
    <w:name w:val="annotation reference"/>
    <w:basedOn w:val="DefaultParagraphFont"/>
    <w:uiPriority w:val="99"/>
    <w:semiHidden/>
    <w:unhideWhenUsed/>
    <w:rsid w:val="00934BC1"/>
    <w:rPr>
      <w:sz w:val="16"/>
      <w:szCs w:val="16"/>
    </w:rPr>
  </w:style>
  <w:style w:type="paragraph" w:styleId="CommentText">
    <w:name w:val="annotation text"/>
    <w:basedOn w:val="Normal"/>
    <w:link w:val="CommentTextChar"/>
    <w:uiPriority w:val="99"/>
    <w:semiHidden/>
    <w:unhideWhenUsed/>
    <w:rsid w:val="00934BC1"/>
    <w:rPr>
      <w:sz w:val="20"/>
      <w:szCs w:val="20"/>
    </w:rPr>
  </w:style>
  <w:style w:type="character" w:customStyle="1" w:styleId="CommentTextChar">
    <w:name w:val="Comment Text Char"/>
    <w:basedOn w:val="DefaultParagraphFont"/>
    <w:link w:val="CommentText"/>
    <w:uiPriority w:val="99"/>
    <w:semiHidden/>
    <w:rsid w:val="00934B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4BC1"/>
    <w:rPr>
      <w:b/>
      <w:bCs/>
    </w:rPr>
  </w:style>
  <w:style w:type="character" w:customStyle="1" w:styleId="CommentSubjectChar">
    <w:name w:val="Comment Subject Char"/>
    <w:basedOn w:val="CommentTextChar"/>
    <w:link w:val="CommentSubject"/>
    <w:uiPriority w:val="99"/>
    <w:semiHidden/>
    <w:rsid w:val="00934B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4BC1"/>
    <w:rPr>
      <w:rFonts w:ascii="Tahoma" w:hAnsi="Tahoma" w:cs="Tahoma"/>
      <w:sz w:val="16"/>
      <w:szCs w:val="16"/>
    </w:rPr>
  </w:style>
  <w:style w:type="character" w:customStyle="1" w:styleId="BalloonTextChar">
    <w:name w:val="Balloon Text Char"/>
    <w:basedOn w:val="DefaultParagraphFont"/>
    <w:link w:val="BalloonText"/>
    <w:uiPriority w:val="99"/>
    <w:semiHidden/>
    <w:rsid w:val="00934BC1"/>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0B6A8A"/>
    <w:rPr>
      <w:color w:val="605E5C"/>
      <w:shd w:val="clear" w:color="auto" w:fill="E1DFDD"/>
    </w:rPr>
  </w:style>
  <w:style w:type="paragraph" w:styleId="ListParagraph">
    <w:name w:val="List Paragraph"/>
    <w:basedOn w:val="Normal"/>
    <w:uiPriority w:val="34"/>
    <w:qFormat/>
    <w:rsid w:val="00216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3185">
      <w:bodyDiv w:val="1"/>
      <w:marLeft w:val="0"/>
      <w:marRight w:val="0"/>
      <w:marTop w:val="0"/>
      <w:marBottom w:val="0"/>
      <w:divBdr>
        <w:top w:val="none" w:sz="0" w:space="0" w:color="auto"/>
        <w:left w:val="none" w:sz="0" w:space="0" w:color="auto"/>
        <w:bottom w:val="none" w:sz="0" w:space="0" w:color="auto"/>
        <w:right w:val="none" w:sz="0" w:space="0" w:color="auto"/>
      </w:divBdr>
    </w:div>
    <w:div w:id="1048260945">
      <w:bodyDiv w:val="1"/>
      <w:marLeft w:val="0"/>
      <w:marRight w:val="0"/>
      <w:marTop w:val="0"/>
      <w:marBottom w:val="0"/>
      <w:divBdr>
        <w:top w:val="none" w:sz="0" w:space="0" w:color="auto"/>
        <w:left w:val="none" w:sz="0" w:space="0" w:color="auto"/>
        <w:bottom w:val="none" w:sz="0" w:space="0" w:color="auto"/>
        <w:right w:val="none" w:sz="0" w:space="0" w:color="auto"/>
      </w:divBdr>
    </w:div>
    <w:div w:id="1060179000">
      <w:bodyDiv w:val="1"/>
      <w:marLeft w:val="0"/>
      <w:marRight w:val="0"/>
      <w:marTop w:val="0"/>
      <w:marBottom w:val="0"/>
      <w:divBdr>
        <w:top w:val="none" w:sz="0" w:space="0" w:color="auto"/>
        <w:left w:val="none" w:sz="0" w:space="0" w:color="auto"/>
        <w:bottom w:val="none" w:sz="0" w:space="0" w:color="auto"/>
        <w:right w:val="none" w:sz="0" w:space="0" w:color="auto"/>
      </w:divBdr>
    </w:div>
    <w:div w:id="13980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s://mel.cgiar.org/preplanning/relatedfiles/id/482/entity/actionsite" TargetMode="External"/><Relationship Id="rId21" Type="http://schemas.openxmlformats.org/officeDocument/2006/relationships/hyperlink" Target="https://mel.cgiar.org/preplanning/relatedfiles/id/484/entity/actionsit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cgiar.org/wp/wp-content/uploads/2018/10/CGIAR-2017-Performance-Report-ANNEXES.pdf" TargetMode="External"/><Relationship Id="rId11" Type="http://schemas.openxmlformats.org/officeDocument/2006/relationships/hyperlink" Target="https://mel.cgiar.org/preplanning/relatedfiles/id/482/entity/actionsite" TargetMode="External"/><Relationship Id="rId12" Type="http://schemas.openxmlformats.org/officeDocument/2006/relationships/hyperlink" Target="https://mel.cgiar.org/preplanning/relatedfiles/id/484/entity/actionsite" TargetMode="External"/><Relationship Id="rId13" Type="http://schemas.openxmlformats.org/officeDocument/2006/relationships/hyperlink" Target="https://mailchi.mp/illinois/new-published-research-tasty-soy-badjias-in-sils-weekly-digest?e=ef90aaaeb5" TargetMode="External"/><Relationship Id="rId14" Type="http://schemas.openxmlformats.org/officeDocument/2006/relationships/hyperlink" Target="http://www.icarda.org/update/lentil-farming-and-gender-norms-ethiopia" TargetMode="External"/><Relationship Id="rId15" Type="http://schemas.openxmlformats.org/officeDocument/2006/relationships/hyperlink" Target="http://oar.icrisat.org/10849/" TargetMode="External"/><Relationship Id="rId16" Type="http://schemas.openxmlformats.org/officeDocument/2006/relationships/hyperlink" Target="https://mel.cgiar.org/preplanning/relatedfiles/id/482/entity/actionsite" TargetMode="External"/><Relationship Id="rId17" Type="http://schemas.openxmlformats.org/officeDocument/2006/relationships/hyperlink" Target="https://mel.cgiar.org/preplanning/relatedfiles/id/482/entity/actionsite" TargetMode="External"/><Relationship Id="rId18" Type="http://schemas.openxmlformats.org/officeDocument/2006/relationships/hyperlink" Target="https://mel.cgiar.org/preplanning/relatedfiles/id/482/entity/actionsite" TargetMode="External"/><Relationship Id="rId19" Type="http://schemas.openxmlformats.org/officeDocument/2006/relationships/hyperlink" Target="https://drive.google.com/file/d/1GYLsseeZOOXF9zXNtpUtE1xeh2gx3Vw2/view"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410344E-18E9-B64B-9D9D-300915A5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4541</Words>
  <Characters>25889</Characters>
  <Application>Microsoft Macintosh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Bonaiuti, Enrico (ICARDA)</dc:creator>
  <cp:lastModifiedBy>Janila Pasupuleti</cp:lastModifiedBy>
  <cp:revision>7</cp:revision>
  <cp:lastPrinted>2019-03-05T17:51:00Z</cp:lastPrinted>
  <dcterms:created xsi:type="dcterms:W3CDTF">2019-03-06T10:30:00Z</dcterms:created>
  <dcterms:modified xsi:type="dcterms:W3CDTF">2019-03-11T14:28:00Z</dcterms:modified>
</cp:coreProperties>
</file>