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D07D" w14:textId="7E49B061" w:rsidR="006E40C8" w:rsidRPr="00A008C3" w:rsidRDefault="006E40C8" w:rsidP="006E40C8">
      <w:pPr>
        <w:rPr>
          <w:rFonts w:asciiTheme="majorHAnsi" w:hAnsiTheme="majorHAnsi" w:cs="Arial"/>
          <w:b/>
          <w:noProof/>
          <w:color w:val="0070C0"/>
          <w:sz w:val="44"/>
          <w:szCs w:val="50"/>
        </w:rPr>
      </w:pPr>
      <w:r w:rsidRPr="00A008C3">
        <w:rPr>
          <w:rFonts w:asciiTheme="majorHAnsi" w:hAnsiTheme="majorHAnsi" w:cs="Arial"/>
          <w:b/>
          <w:noProof/>
          <w:color w:val="0070C0"/>
          <w:sz w:val="44"/>
          <w:szCs w:val="50"/>
        </w:rPr>
        <w:t xml:space="preserve">Flagship </w:t>
      </w:r>
      <w:r w:rsidR="009B7099" w:rsidRPr="00A008C3">
        <w:rPr>
          <w:rFonts w:asciiTheme="majorHAnsi" w:hAnsiTheme="majorHAnsi" w:cs="Arial"/>
          <w:b/>
          <w:noProof/>
          <w:color w:val="0070C0"/>
          <w:sz w:val="44"/>
          <w:szCs w:val="50"/>
        </w:rPr>
        <w:t>A</w:t>
      </w:r>
      <w:r w:rsidRPr="00A008C3">
        <w:rPr>
          <w:rFonts w:asciiTheme="majorHAnsi" w:hAnsiTheme="majorHAnsi" w:cs="Arial"/>
          <w:b/>
          <w:noProof/>
          <w:color w:val="0070C0"/>
          <w:sz w:val="44"/>
          <w:szCs w:val="50"/>
        </w:rPr>
        <w:t xml:space="preserve">nnual </w:t>
      </w:r>
      <w:r w:rsidR="009B7099" w:rsidRPr="00A008C3">
        <w:rPr>
          <w:rFonts w:asciiTheme="majorHAnsi" w:hAnsiTheme="majorHAnsi" w:cs="Arial"/>
          <w:b/>
          <w:noProof/>
          <w:color w:val="0070C0"/>
          <w:sz w:val="44"/>
          <w:szCs w:val="50"/>
        </w:rPr>
        <w:t>R</w:t>
      </w:r>
      <w:r w:rsidRPr="00A008C3">
        <w:rPr>
          <w:rFonts w:asciiTheme="majorHAnsi" w:hAnsiTheme="majorHAnsi" w:cs="Arial"/>
          <w:b/>
          <w:noProof/>
          <w:color w:val="0070C0"/>
          <w:sz w:val="44"/>
          <w:szCs w:val="50"/>
        </w:rPr>
        <w:t>eport - 2018</w:t>
      </w:r>
    </w:p>
    <w:p w14:paraId="66DC3834" w14:textId="16608BA7" w:rsidR="006E40C8" w:rsidRPr="00A008C3" w:rsidRDefault="009B7099" w:rsidP="006E40C8">
      <w:pPr>
        <w:rPr>
          <w:rFonts w:asciiTheme="majorHAnsi" w:hAnsiTheme="majorHAnsi" w:cs="Arial"/>
          <w:b/>
          <w:noProof/>
          <w:color w:val="0070C0"/>
          <w:sz w:val="44"/>
          <w:szCs w:val="50"/>
        </w:rPr>
      </w:pPr>
      <w:r w:rsidRPr="00A008C3">
        <w:rPr>
          <w:rFonts w:asciiTheme="majorHAnsi" w:hAnsiTheme="majorHAnsi" w:cs="Arial"/>
          <w:b/>
          <w:noProof/>
          <w:color w:val="0070C0"/>
          <w:sz w:val="44"/>
          <w:szCs w:val="50"/>
        </w:rPr>
        <w:t xml:space="preserve">FP1 </w:t>
      </w:r>
      <w:r w:rsidR="006E40C8" w:rsidRPr="00A008C3">
        <w:rPr>
          <w:rFonts w:asciiTheme="majorHAnsi" w:hAnsiTheme="majorHAnsi" w:cs="Arial"/>
          <w:b/>
          <w:noProof/>
          <w:color w:val="0070C0"/>
          <w:sz w:val="44"/>
          <w:szCs w:val="50"/>
        </w:rPr>
        <w:t xml:space="preserve">– </w:t>
      </w:r>
      <w:r w:rsidRPr="00A008C3">
        <w:rPr>
          <w:rFonts w:asciiTheme="majorHAnsi" w:hAnsiTheme="majorHAnsi" w:cs="Arial"/>
          <w:b/>
          <w:noProof/>
          <w:color w:val="0070C0"/>
          <w:sz w:val="44"/>
          <w:szCs w:val="50"/>
        </w:rPr>
        <w:t>Priority Setting &amp; Impact Acceleration</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5B7948D8" w14:textId="0CEAF628" w:rsidR="00757ABE" w:rsidRPr="00A008C3" w:rsidRDefault="00410E7D" w:rsidP="00757ABE">
      <w:pPr>
        <w:jc w:val="both"/>
        <w:rPr>
          <w:color w:val="0070C0"/>
        </w:rPr>
      </w:pPr>
      <w:r w:rsidRPr="00A008C3">
        <w:rPr>
          <w:rFonts w:ascii="Arial" w:hAnsi="Arial" w:cs="Arial"/>
          <w:color w:val="0070C0"/>
          <w:sz w:val="27"/>
          <w:szCs w:val="27"/>
        </w:rPr>
        <w:t>Progress</w:t>
      </w:r>
      <w:r w:rsidR="00B66D3D">
        <w:rPr>
          <w:rFonts w:ascii="Arial" w:hAnsi="Arial" w:cs="Arial"/>
          <w:color w:val="0070C0"/>
          <w:sz w:val="27"/>
          <w:szCs w:val="27"/>
        </w:rPr>
        <w:t xml:space="preserve"> towards outcomes</w:t>
      </w:r>
      <w:r w:rsidR="00024276" w:rsidRPr="00A008C3">
        <w:rPr>
          <w:color w:val="0070C0"/>
        </w:rPr>
        <w:t xml:space="preserve"> </w:t>
      </w:r>
    </w:p>
    <w:p w14:paraId="6E043613" w14:textId="01720EAF" w:rsidR="003A46CC" w:rsidRDefault="00486241" w:rsidP="00547E46">
      <w:pPr>
        <w:jc w:val="both"/>
      </w:pPr>
      <w:r>
        <w:t>The E</w:t>
      </w:r>
      <w:r w:rsidRPr="003A46CC">
        <w:t xml:space="preserve">conomic, social, and environmental impacts </w:t>
      </w:r>
      <w:r>
        <w:t>of GLDC research can be enhanced through</w:t>
      </w:r>
      <w:r w:rsidRPr="003A46CC">
        <w:t xml:space="preserve"> inclusive and demand-driven research that responds to smallholder farmer needs, market demand, and local and national priorities.</w:t>
      </w:r>
      <w:r>
        <w:t xml:space="preserve"> </w:t>
      </w:r>
      <w:r w:rsidR="00517ED7" w:rsidRPr="003A46CC">
        <w:t xml:space="preserve">Flagship 1 </w:t>
      </w:r>
      <w:r w:rsidR="00F733FC" w:rsidRPr="003A46CC">
        <w:t xml:space="preserve">on Priority Setting and Impact Acceleration </w:t>
      </w:r>
      <w:r w:rsidR="00517ED7" w:rsidRPr="003A46CC">
        <w:t xml:space="preserve">aims to </w:t>
      </w:r>
      <w:r w:rsidR="003A46CC" w:rsidRPr="003A46CC">
        <w:t xml:space="preserve">enhance the relevance and impacts of GLDC research through improved targeting and priority-setting, learning from adoption and impact studies, strategic gender research, and supporting scaling efforts. </w:t>
      </w:r>
    </w:p>
    <w:p w14:paraId="382DCCB3" w14:textId="77777777" w:rsidR="003A46CC" w:rsidRDefault="003A46CC" w:rsidP="00547E46">
      <w:pPr>
        <w:jc w:val="both"/>
      </w:pPr>
    </w:p>
    <w:p w14:paraId="2380F2B6" w14:textId="436EA728" w:rsidR="00A008C3" w:rsidRDefault="00357A28" w:rsidP="00547E46">
      <w:pPr>
        <w:jc w:val="both"/>
      </w:pPr>
      <w:bookmarkStart w:id="0" w:name="_Hlk2246556"/>
      <w:r>
        <w:rPr>
          <w:sz w:val="22"/>
          <w:szCs w:val="22"/>
        </w:rPr>
        <w:t>Building on the earlier ex-ante economic impact evaluation which was carried out to guide priorities across crops, countries, and the major technical lines of research, a</w:t>
      </w:r>
      <w:r w:rsidR="00273F8E" w:rsidRPr="00273F8E">
        <w:t xml:space="preserve">n </w:t>
      </w:r>
      <w:r>
        <w:t xml:space="preserve">expanded </w:t>
      </w:r>
      <w:r w:rsidR="00273F8E" w:rsidRPr="00273F8E">
        <w:rPr>
          <w:sz w:val="22"/>
          <w:szCs w:val="22"/>
        </w:rPr>
        <w:t xml:space="preserve">ex-ante </w:t>
      </w:r>
      <w:r w:rsidR="00547E46">
        <w:t xml:space="preserve">poverty </w:t>
      </w:r>
      <w:r w:rsidR="00273F8E" w:rsidRPr="00273F8E">
        <w:rPr>
          <w:sz w:val="22"/>
          <w:szCs w:val="22"/>
        </w:rPr>
        <w:t xml:space="preserve">impact </w:t>
      </w:r>
      <w:r w:rsidR="00273F8E" w:rsidRPr="00273F8E">
        <w:t>study was conducted to</w:t>
      </w:r>
      <w:r w:rsidR="00273F8E">
        <w:t xml:space="preserve"> </w:t>
      </w:r>
      <w:r w:rsidR="00A008C3" w:rsidRPr="00A008C3">
        <w:t>assess GLDC research priorities based on potential impacts on poverty reduction. In West Africa, the research and technology options with the greatest potential for poverty reduction (</w:t>
      </w:r>
      <w:r w:rsidR="00100957">
        <w:t xml:space="preserve">each lifting </w:t>
      </w:r>
      <w:r w:rsidR="00A008C3" w:rsidRPr="00A008C3">
        <w:t>over 250,000 people) are</w:t>
      </w:r>
      <w:r w:rsidR="00B52284">
        <w:t>: (1)</w:t>
      </w:r>
      <w:r w:rsidR="00A008C3" w:rsidRPr="00A008C3">
        <w:t xml:space="preserve"> early-maturing sorghum varieties and hybrids with tolerance to drought; </w:t>
      </w:r>
      <w:r w:rsidR="00B52284">
        <w:t xml:space="preserve">(2) </w:t>
      </w:r>
      <w:r w:rsidR="00547E46" w:rsidRPr="00A008C3">
        <w:t xml:space="preserve">early-maturing </w:t>
      </w:r>
      <w:r w:rsidR="00B52284">
        <w:t xml:space="preserve">and drought-tolerant </w:t>
      </w:r>
      <w:r w:rsidR="00547E46" w:rsidRPr="00A008C3">
        <w:t xml:space="preserve">pearl millet hybrids </w:t>
      </w:r>
      <w:r w:rsidR="00B52284">
        <w:t xml:space="preserve">with resistance to downy mildew and blast; </w:t>
      </w:r>
      <w:r w:rsidR="00A008C3" w:rsidRPr="00A008C3">
        <w:t>and</w:t>
      </w:r>
      <w:r w:rsidR="00B52284">
        <w:t xml:space="preserve"> (3)</w:t>
      </w:r>
      <w:r w:rsidR="00A008C3" w:rsidRPr="00A008C3">
        <w:t xml:space="preserve"> insect-resistant and drought</w:t>
      </w:r>
      <w:r w:rsidR="00B52284">
        <w:t>-</w:t>
      </w:r>
      <w:r w:rsidR="00A008C3" w:rsidRPr="00A008C3">
        <w:t xml:space="preserve">tolerant cowpea varieties. In </w:t>
      </w:r>
      <w:r w:rsidR="00D74EE1">
        <w:t>E</w:t>
      </w:r>
      <w:r w:rsidR="00A008C3" w:rsidRPr="00A008C3">
        <w:t>astern Africa, the research and technology options with the greatest potential for poverty reduction (</w:t>
      </w:r>
      <w:r w:rsidR="00780016">
        <w:t xml:space="preserve">each lifting </w:t>
      </w:r>
      <w:r w:rsidR="00A008C3" w:rsidRPr="00A008C3">
        <w:t>over 120,000 people) are</w:t>
      </w:r>
      <w:r w:rsidR="00B52284">
        <w:t>: (1)</w:t>
      </w:r>
      <w:r w:rsidR="00A008C3" w:rsidRPr="00A008C3">
        <w:t xml:space="preserve"> early-maturing sorghum varieties and hybrids with tolerance to drought and Striga; </w:t>
      </w:r>
      <w:r w:rsidR="00FF5EC4">
        <w:t>(2)</w:t>
      </w:r>
      <w:r w:rsidR="00A008C3" w:rsidRPr="00A008C3">
        <w:t xml:space="preserve"> medium- to late-maturing anthracnose-resistant sorghum cultivars</w:t>
      </w:r>
      <w:r w:rsidR="00B52284">
        <w:t xml:space="preserve">; and (3) sorghum varieties and hybrids with resistance to Striga and </w:t>
      </w:r>
      <w:r w:rsidR="00FF5EC4">
        <w:t>s</w:t>
      </w:r>
      <w:r w:rsidR="00B52284">
        <w:t>tem borer</w:t>
      </w:r>
      <w:r w:rsidR="00FF5EC4">
        <w:t xml:space="preserve">. </w:t>
      </w:r>
      <w:r w:rsidR="00A008C3" w:rsidRPr="00A008C3">
        <w:t xml:space="preserve">In </w:t>
      </w:r>
      <w:r w:rsidR="007F5941">
        <w:t>S</w:t>
      </w:r>
      <w:r w:rsidR="00A008C3" w:rsidRPr="00A008C3">
        <w:t>outhern Africa, the research and technology options with the greatest potential for poverty reduction (</w:t>
      </w:r>
      <w:r w:rsidR="00780016">
        <w:t xml:space="preserve">each lifting </w:t>
      </w:r>
      <w:r w:rsidR="00A008C3" w:rsidRPr="00A008C3">
        <w:t>over 60,000 people) are</w:t>
      </w:r>
      <w:r w:rsidR="00FF5EC4">
        <w:t>: (1)</w:t>
      </w:r>
      <w:r w:rsidR="00A008C3" w:rsidRPr="00A008C3">
        <w:t xml:space="preserve"> rosette-resistant groundnut variet</w:t>
      </w:r>
      <w:r w:rsidR="00FF5EC4">
        <w:t>ies</w:t>
      </w:r>
      <w:r w:rsidR="00A008C3" w:rsidRPr="00A008C3">
        <w:t xml:space="preserve">; </w:t>
      </w:r>
      <w:r w:rsidR="00FF5EC4">
        <w:t xml:space="preserve">(2) </w:t>
      </w:r>
      <w:r w:rsidR="00A008C3" w:rsidRPr="00A008C3">
        <w:t xml:space="preserve">early-maturing and drought-tolerant groundnut and sorghum varieties; and </w:t>
      </w:r>
      <w:r w:rsidR="00FF5EC4">
        <w:t xml:space="preserve">(3) </w:t>
      </w:r>
      <w:r w:rsidR="00A008C3" w:rsidRPr="00A008C3">
        <w:t>drought-tolerant soybean varieties and crop management practices. In South Asia, the research and technology options with the greatest potential for poverty reduction (</w:t>
      </w:r>
      <w:r w:rsidR="00C56180">
        <w:t xml:space="preserve">each lifting </w:t>
      </w:r>
      <w:r w:rsidR="00A008C3" w:rsidRPr="00A008C3">
        <w:t>over 125,000) are</w:t>
      </w:r>
      <w:r w:rsidR="00FF5EC4">
        <w:t>: (1)</w:t>
      </w:r>
      <w:r w:rsidR="00A008C3" w:rsidRPr="00A008C3">
        <w:t xml:space="preserve"> chickpea varieties resistant to Fusarium wilt, root rots, and gray mold; </w:t>
      </w:r>
      <w:r w:rsidR="00FF5EC4">
        <w:t xml:space="preserve">(2) </w:t>
      </w:r>
      <w:r w:rsidR="00A008C3" w:rsidRPr="00A008C3">
        <w:t xml:space="preserve">drought-tolerant lentil varieties; and </w:t>
      </w:r>
      <w:r w:rsidR="00FF5EC4">
        <w:t xml:space="preserve">(3) </w:t>
      </w:r>
      <w:r w:rsidR="00A008C3" w:rsidRPr="00A008C3">
        <w:t xml:space="preserve">dual-purpose pearl millet hybrids with high and stable yields and resistance to downy mildew and blast. </w:t>
      </w:r>
      <w:bookmarkEnd w:id="0"/>
    </w:p>
    <w:p w14:paraId="0EB44516" w14:textId="71E097DF" w:rsidR="00E81CC5" w:rsidRDefault="00E81CC5" w:rsidP="00547E46">
      <w:pPr>
        <w:jc w:val="both"/>
      </w:pPr>
    </w:p>
    <w:p w14:paraId="672504DF" w14:textId="13633A42" w:rsidR="00F9749B" w:rsidRPr="009A6FBB" w:rsidRDefault="00F9749B" w:rsidP="00F9749B">
      <w:pPr>
        <w:jc w:val="both"/>
      </w:pPr>
      <w:r>
        <w:t xml:space="preserve">Researchers in Flagship 1 updated the GLDC database </w:t>
      </w:r>
      <w:r w:rsidR="002D63B9">
        <w:t>of</w:t>
      </w:r>
      <w:r>
        <w:t xml:space="preserve"> the </w:t>
      </w:r>
      <w:r w:rsidRPr="009A6FBB">
        <w:t>International Model for the Policy Analysis of Agricultural Commodities and Trade (IMPACT)</w:t>
      </w:r>
      <w:r>
        <w:t xml:space="preserve"> for f</w:t>
      </w:r>
      <w:r w:rsidRPr="00F10169">
        <w:t xml:space="preserve">oresight modeling and ex-ante analysis </w:t>
      </w:r>
      <w:r>
        <w:t>for</w:t>
      </w:r>
      <w:r w:rsidRPr="00F10169">
        <w:t xml:space="preserve"> priority setting</w:t>
      </w:r>
      <w:r>
        <w:t xml:space="preserve">. The activity involved estimating </w:t>
      </w:r>
      <w:r w:rsidRPr="009A6FBB">
        <w:t xml:space="preserve">the coefficients needed to update </w:t>
      </w:r>
      <w:r>
        <w:t>the</w:t>
      </w:r>
      <w:r w:rsidRPr="009A6FBB">
        <w:t xml:space="preserve"> production and consumption values for GLDC crops in sub-Saharan Africa (SSA) and south Asia between 2005 and 2015. Results showed that adjustments were needed only for soybean and chickpea in sub-Saharan Africa (SSA). </w:t>
      </w:r>
      <w:r>
        <w:t>A</w:t>
      </w:r>
      <w:r w:rsidRPr="009A6FBB">
        <w:t xml:space="preserve">djusting the yield coefficients in IMPACT increased the </w:t>
      </w:r>
      <w:r>
        <w:t>estimated</w:t>
      </w:r>
      <w:r w:rsidRPr="009A6FBB">
        <w:t xml:space="preserve"> production values of soybean and chickpea in SSA and successfully brought these values closer to the </w:t>
      </w:r>
      <w:r>
        <w:t>actual</w:t>
      </w:r>
      <w:r w:rsidRPr="009A6FBB">
        <w:t xml:space="preserve"> values from FAOSTA</w:t>
      </w:r>
      <w:r>
        <w:t xml:space="preserve">T. </w:t>
      </w:r>
    </w:p>
    <w:p w14:paraId="115AE58D" w14:textId="77777777" w:rsidR="00F9749B" w:rsidRDefault="00F9749B" w:rsidP="00C02089">
      <w:pPr>
        <w:jc w:val="both"/>
      </w:pPr>
    </w:p>
    <w:p w14:paraId="4EACC658" w14:textId="380E4994" w:rsidR="00702B07" w:rsidRDefault="00774927" w:rsidP="00C02089">
      <w:pPr>
        <w:jc w:val="both"/>
      </w:pPr>
      <w:r w:rsidRPr="00774927">
        <w:t xml:space="preserve">Understanding the drivers of adoption and </w:t>
      </w:r>
      <w:r>
        <w:t>i</w:t>
      </w:r>
      <w:r w:rsidRPr="00774927">
        <w:t>dentify</w:t>
      </w:r>
      <w:r>
        <w:t>ing</w:t>
      </w:r>
      <w:r w:rsidRPr="00774927">
        <w:t xml:space="preserve"> producer and end-user preferences is crucial </w:t>
      </w:r>
      <w:r w:rsidR="00134D44">
        <w:t>for</w:t>
      </w:r>
      <w:r w:rsidRPr="00774927">
        <w:t xml:space="preserve"> ensur</w:t>
      </w:r>
      <w:r w:rsidR="00134D44">
        <w:t>ing</w:t>
      </w:r>
      <w:r w:rsidRPr="00774927">
        <w:t xml:space="preserve"> alignment between end-user demand and breeding targets </w:t>
      </w:r>
      <w:r>
        <w:t xml:space="preserve">and </w:t>
      </w:r>
      <w:r w:rsidRPr="00774927">
        <w:t>facilitate scaling of GLDC innovations</w:t>
      </w:r>
      <w:r>
        <w:t xml:space="preserve">. </w:t>
      </w:r>
      <w:r w:rsidR="000A608A" w:rsidRPr="000A608A">
        <w:t>Understanding farming households’ technology choices remains one of the most critical aspects of agricultural research in rural areas</w:t>
      </w:r>
      <w:r w:rsidR="002C5E3D">
        <w:t>, but</w:t>
      </w:r>
      <w:r w:rsidR="000A608A" w:rsidRPr="000A608A">
        <w:t xml:space="preserve"> many </w:t>
      </w:r>
      <w:r w:rsidR="000A608A" w:rsidRPr="000A608A">
        <w:lastRenderedPageBreak/>
        <w:t xml:space="preserve">technologies that are known to be effective and potentially highly beneficial have </w:t>
      </w:r>
      <w:r w:rsidR="000A608A">
        <w:t>not been adopted widely</w:t>
      </w:r>
      <w:r w:rsidR="000A608A" w:rsidRPr="000A608A">
        <w:t xml:space="preserve">. </w:t>
      </w:r>
      <w:r w:rsidR="000A608A">
        <w:t xml:space="preserve">Researchers in Flagship 1 conduct </w:t>
      </w:r>
      <w:r w:rsidR="002C5E3D">
        <w:t>research</w:t>
      </w:r>
      <w:r w:rsidR="000A608A" w:rsidRPr="00C02089">
        <w:t xml:space="preserve"> </w:t>
      </w:r>
      <w:r w:rsidR="000A608A">
        <w:t>aimed at enhancing and deepening our</w:t>
      </w:r>
      <w:r w:rsidR="000A608A" w:rsidRPr="00C02089">
        <w:t xml:space="preserve"> understanding of all aspects of </w:t>
      </w:r>
      <w:r w:rsidR="000A608A">
        <w:t xml:space="preserve">end-user </w:t>
      </w:r>
      <w:r w:rsidR="000A608A" w:rsidRPr="00C02089">
        <w:t>demand</w:t>
      </w:r>
      <w:r w:rsidR="000A608A">
        <w:t xml:space="preserve"> including consumer</w:t>
      </w:r>
      <w:r w:rsidR="000A608A" w:rsidRPr="00C02089">
        <w:t xml:space="preserve"> demand for GLDC food crops, technology demand by rural farming households</w:t>
      </w:r>
      <w:r w:rsidR="000A608A">
        <w:t>, and</w:t>
      </w:r>
      <w:r w:rsidR="000A608A" w:rsidRPr="00C02089">
        <w:t xml:space="preserve"> an analysis of wider potential to change consumer behavior. </w:t>
      </w:r>
      <w:r w:rsidR="00702B07">
        <w:t>A s</w:t>
      </w:r>
      <w:r w:rsidR="000A608A">
        <w:t>tud</w:t>
      </w:r>
      <w:r w:rsidR="00702B07">
        <w:t>y on</w:t>
      </w:r>
      <w:r w:rsidR="000A608A" w:rsidRPr="00C02089">
        <w:t xml:space="preserve"> rural aspirations </w:t>
      </w:r>
      <w:r w:rsidR="000A608A">
        <w:t>showed</w:t>
      </w:r>
      <w:r w:rsidR="000A608A" w:rsidRPr="000A608A">
        <w:t xml:space="preserve"> that human aspirations have a much greater influence on technology choices</w:t>
      </w:r>
      <w:r w:rsidR="00702B07">
        <w:t xml:space="preserve">, and </w:t>
      </w:r>
      <w:r w:rsidR="000A608A" w:rsidRPr="000A608A">
        <w:t xml:space="preserve">a better understanding of aspirations </w:t>
      </w:r>
      <w:r w:rsidR="00702B07">
        <w:t>can</w:t>
      </w:r>
      <w:r w:rsidR="000A608A" w:rsidRPr="000A608A">
        <w:t xml:space="preserve"> improve the targeting of technology development by researchers. </w:t>
      </w:r>
      <w:r w:rsidR="00702B07">
        <w:t>Another study showed that r</w:t>
      </w:r>
      <w:r w:rsidR="00702B07" w:rsidRPr="00702B07">
        <w:t xml:space="preserve">ural households </w:t>
      </w:r>
      <w:r w:rsidR="00702B07">
        <w:t xml:space="preserve">in Kenya </w:t>
      </w:r>
      <w:r w:rsidR="00702B07" w:rsidRPr="00702B07">
        <w:t xml:space="preserve">have different aspirations and income portfolio strategies, including agricultural intensification and income diversification. </w:t>
      </w:r>
      <w:r w:rsidR="00702B07">
        <w:t>Alt</w:t>
      </w:r>
      <w:r w:rsidR="00702B07" w:rsidRPr="00702B07">
        <w:t>hough few households speciali</w:t>
      </w:r>
      <w:r w:rsidR="00702B07">
        <w:t>z</w:t>
      </w:r>
      <w:r w:rsidR="00702B07" w:rsidRPr="00702B07">
        <w:t xml:space="preserve">ed in farming, many households self-identified as farmers and aspired to increase their agricultural income. Despite the prevalence of agricultural aspirations, few aspired for their children to have a future in farming. Combining aspirations with potential to invest, the </w:t>
      </w:r>
      <w:r w:rsidR="00702B07">
        <w:t>study</w:t>
      </w:r>
      <w:r w:rsidR="00702B07" w:rsidRPr="00702B07">
        <w:t xml:space="preserve"> </w:t>
      </w:r>
      <w:r w:rsidR="005655F1">
        <w:t>provides recommendations for</w:t>
      </w:r>
      <w:r w:rsidR="00702B07" w:rsidRPr="00702B07">
        <w:t xml:space="preserve"> targeting agricultural interventions</w:t>
      </w:r>
      <w:r w:rsidR="005655F1">
        <w:t xml:space="preserve"> with emphasis on the </w:t>
      </w:r>
      <w:r w:rsidR="00702B07" w:rsidRPr="00702B07">
        <w:t>need to start listening better to “farmers” to develop and offer innovations that meet their realities.</w:t>
      </w:r>
      <w:r w:rsidR="005655F1">
        <w:t xml:space="preserve"> </w:t>
      </w:r>
    </w:p>
    <w:p w14:paraId="42F5821F" w14:textId="5F8DBF05" w:rsidR="005655F1" w:rsidRDefault="005655F1" w:rsidP="00C02089">
      <w:pPr>
        <w:jc w:val="both"/>
      </w:pPr>
    </w:p>
    <w:p w14:paraId="3019B675" w14:textId="7ADD7DBA" w:rsidR="006B6751" w:rsidRDefault="0099005D" w:rsidP="007D20A6">
      <w:pPr>
        <w:jc w:val="both"/>
      </w:pPr>
      <w:r w:rsidRPr="007D20A6">
        <w:t>Gender research team</w:t>
      </w:r>
      <w:r w:rsidR="007D20A6" w:rsidRPr="007D20A6">
        <w:t>s identified t</w:t>
      </w:r>
      <w:r w:rsidRPr="007D20A6">
        <w:t xml:space="preserve">he roles of gender norms and social change in adoption and benefitting from </w:t>
      </w:r>
      <w:r w:rsidR="007D20A6">
        <w:t xml:space="preserve">improved </w:t>
      </w:r>
      <w:r w:rsidRPr="007D20A6">
        <w:t xml:space="preserve">varieties and </w:t>
      </w:r>
      <w:r w:rsidR="007D20A6">
        <w:t xml:space="preserve">the </w:t>
      </w:r>
      <w:r w:rsidRPr="007D20A6">
        <w:t>means to strengthen women’s and men’s adoption and benefits from new varieties</w:t>
      </w:r>
      <w:r w:rsidR="007D20A6">
        <w:t xml:space="preserve">. </w:t>
      </w:r>
      <w:r w:rsidR="00BB2C6A" w:rsidRPr="00BB2C6A">
        <w:t xml:space="preserve">A study conducted in rural </w:t>
      </w:r>
      <w:r w:rsidR="00424AB1">
        <w:t xml:space="preserve">communities in </w:t>
      </w:r>
      <w:r w:rsidR="00BB2C6A" w:rsidRPr="00BB2C6A">
        <w:t xml:space="preserve">India </w:t>
      </w:r>
      <w:r w:rsidR="00BB2C6A">
        <w:t xml:space="preserve">examined </w:t>
      </w:r>
      <w:r w:rsidR="00BB2C6A" w:rsidRPr="00BB2C6A">
        <w:t>how the adoption of pro-poor innovations</w:t>
      </w:r>
      <w:r w:rsidR="00BB2C6A">
        <w:t>—i</w:t>
      </w:r>
      <w:r w:rsidR="00BB2C6A" w:rsidRPr="00BB2C6A">
        <w:t>mproved barley varieties and Marwari goats</w:t>
      </w:r>
      <w:r w:rsidR="00BB2C6A">
        <w:t>—</w:t>
      </w:r>
      <w:r w:rsidR="00BB2C6A" w:rsidRPr="00BB2C6A">
        <w:t>and their benefits are affected by gender, class, and age.  </w:t>
      </w:r>
      <w:r w:rsidR="00641561">
        <w:t>Given the</w:t>
      </w:r>
      <w:r w:rsidR="00BB2C6A">
        <w:t xml:space="preserve"> finding </w:t>
      </w:r>
      <w:r w:rsidR="00641561">
        <w:t>that</w:t>
      </w:r>
      <w:r w:rsidR="00BB2C6A">
        <w:t xml:space="preserve"> w</w:t>
      </w:r>
      <w:r w:rsidR="00BB2C6A" w:rsidRPr="00BB2C6A">
        <w:t xml:space="preserve">omen </w:t>
      </w:r>
      <w:r w:rsidR="00BB2C6A">
        <w:t xml:space="preserve">who adopted </w:t>
      </w:r>
      <w:r w:rsidR="00BB2C6A" w:rsidRPr="00BB2C6A">
        <w:t>Marwari goats</w:t>
      </w:r>
      <w:r w:rsidR="00BB2C6A">
        <w:t xml:space="preserve"> with </w:t>
      </w:r>
      <w:r w:rsidR="00BB2C6A" w:rsidRPr="00BB2C6A">
        <w:t xml:space="preserve">higher milk yield and fertility </w:t>
      </w:r>
      <w:r w:rsidR="00165E2A">
        <w:t xml:space="preserve">sold </w:t>
      </w:r>
      <w:r w:rsidR="00BB2C6A" w:rsidRPr="00BB2C6A">
        <w:t>milk from their homes</w:t>
      </w:r>
      <w:r w:rsidR="00641561">
        <w:t xml:space="preserve"> and earn</w:t>
      </w:r>
      <w:r w:rsidR="00165E2A">
        <w:t>ed</w:t>
      </w:r>
      <w:r w:rsidR="00BB2C6A" w:rsidRPr="00BB2C6A">
        <w:t xml:space="preserve"> higher incomes</w:t>
      </w:r>
      <w:r w:rsidR="00641561">
        <w:t xml:space="preserve">, the study </w:t>
      </w:r>
      <w:r w:rsidR="00BB2C6A">
        <w:t>sh</w:t>
      </w:r>
      <w:bookmarkStart w:id="1" w:name="_GoBack"/>
      <w:bookmarkEnd w:id="1"/>
      <w:r w:rsidR="00BB2C6A">
        <w:t>owed</w:t>
      </w:r>
      <w:r w:rsidR="00BB2C6A" w:rsidRPr="00BB2C6A">
        <w:t xml:space="preserve"> th</w:t>
      </w:r>
      <w:r w:rsidR="00BB2C6A">
        <w:t xml:space="preserve">e potential for </w:t>
      </w:r>
      <w:r w:rsidR="00BB2C6A">
        <w:t xml:space="preserve">improved technologies </w:t>
      </w:r>
      <w:r w:rsidR="00BB2C6A">
        <w:t xml:space="preserve">to bring about women empowerment </w:t>
      </w:r>
      <w:r w:rsidR="00641561">
        <w:t xml:space="preserve">even </w:t>
      </w:r>
      <w:r w:rsidR="00BB2C6A">
        <w:t xml:space="preserve">in </w:t>
      </w:r>
      <w:r w:rsidR="00424AB1">
        <w:t>communities</w:t>
      </w:r>
      <w:r w:rsidR="00BB2C6A">
        <w:t xml:space="preserve"> where there is female seclusion</w:t>
      </w:r>
      <w:r w:rsidR="00BB2C6A" w:rsidRPr="00BB2C6A">
        <w:t>.</w:t>
      </w:r>
      <w:r w:rsidR="006B6751">
        <w:t xml:space="preserve"> </w:t>
      </w:r>
    </w:p>
    <w:p w14:paraId="6556753A" w14:textId="0E9D3BE9" w:rsidR="007D20A6" w:rsidRDefault="007D20A6" w:rsidP="007D20A6">
      <w:pPr>
        <w:jc w:val="both"/>
      </w:pPr>
      <w:r>
        <w:t xml:space="preserve">A study </w:t>
      </w:r>
      <w:r w:rsidR="006B6751">
        <w:t>was conducted to assess</w:t>
      </w:r>
      <w:r>
        <w:t xml:space="preserve"> the effects of migration on the ‘feminization of agriculture’ in dryland areas</w:t>
      </w:r>
      <w:r>
        <w:t xml:space="preserve"> where</w:t>
      </w:r>
      <w:r>
        <w:t xml:space="preserve"> women do more agricultural work but at lower wages and under more precarious working conditions than men. The findings </w:t>
      </w:r>
      <w:r>
        <w:t>showed</w:t>
      </w:r>
      <w:r>
        <w:t xml:space="preserve"> that women perform more farm labor in agrarian societies due to the increasing outmigration of men</w:t>
      </w:r>
      <w:r w:rsidR="006B6751">
        <w:t xml:space="preserve">. </w:t>
      </w:r>
      <w:r>
        <w:t>The findings also show</w:t>
      </w:r>
      <w:r>
        <w:t>ed</w:t>
      </w:r>
      <w:r>
        <w:t xml:space="preserve"> that generational, socioeconomic and sociocultural factors, as well as economic and social remittances affect migration-related agricultural feminization. </w:t>
      </w:r>
      <w:r>
        <w:t>T</w:t>
      </w:r>
      <w:r>
        <w:t xml:space="preserve">he </w:t>
      </w:r>
      <w:r w:rsidR="006B6751">
        <w:t>results point to the need for increased technological</w:t>
      </w:r>
      <w:r>
        <w:t xml:space="preserve"> </w:t>
      </w:r>
      <w:r w:rsidR="006B6751">
        <w:t xml:space="preserve">and policy </w:t>
      </w:r>
      <w:r>
        <w:t>interventions to improve agricultural productivity for women who take over farm tasks in the absence of men.</w:t>
      </w:r>
    </w:p>
    <w:p w14:paraId="2EEEFB07" w14:textId="77777777" w:rsidR="007D20A6" w:rsidRPr="007D20A6" w:rsidRDefault="007D20A6" w:rsidP="00FD5928">
      <w:pPr>
        <w:jc w:val="both"/>
      </w:pPr>
    </w:p>
    <w:p w14:paraId="257ECA0F" w14:textId="4E900875" w:rsidR="00FD5928" w:rsidRPr="00FD5928" w:rsidRDefault="00B10757" w:rsidP="00FD5928">
      <w:pPr>
        <w:jc w:val="both"/>
      </w:pPr>
      <w:r w:rsidRPr="00FD5928">
        <w:t xml:space="preserve">To support technology development and adoption, </w:t>
      </w:r>
      <w:r w:rsidR="00FC44EC" w:rsidRPr="00FD5928">
        <w:t>the work in Flagship 1</w:t>
      </w:r>
      <w:r w:rsidRPr="00FD5928">
        <w:t xml:space="preserve"> analyze</w:t>
      </w:r>
      <w:r w:rsidR="00FC44EC" w:rsidRPr="00FD5928">
        <w:t>s</w:t>
      </w:r>
      <w:r w:rsidRPr="00FD5928">
        <w:t xml:space="preserve"> the policy and institutional environment and identif</w:t>
      </w:r>
      <w:r w:rsidR="00FC44EC" w:rsidRPr="00FD5928">
        <w:t>ies</w:t>
      </w:r>
      <w:r w:rsidRPr="00FD5928">
        <w:t xml:space="preserve"> the enabling conditions for successful scaling</w:t>
      </w:r>
      <w:r w:rsidR="00FC44EC" w:rsidRPr="00FD5928">
        <w:t xml:space="preserve"> </w:t>
      </w:r>
      <w:r w:rsidR="003E675C" w:rsidRPr="00FD5928">
        <w:t xml:space="preserve">and impact </w:t>
      </w:r>
      <w:r w:rsidR="00FC44EC" w:rsidRPr="00FD5928">
        <w:t>of GLDC technologies</w:t>
      </w:r>
      <w:r w:rsidRPr="00FD5928">
        <w:t>.</w:t>
      </w:r>
      <w:r w:rsidR="00FD5928" w:rsidRPr="00FD5928">
        <w:t xml:space="preserve"> </w:t>
      </w:r>
      <w:r w:rsidR="00FD5928">
        <w:t>A</w:t>
      </w:r>
      <w:r w:rsidR="00FD5928" w:rsidRPr="00FD5928">
        <w:t xml:space="preserve"> review and synthesis of 18 </w:t>
      </w:r>
      <w:r w:rsidR="00FD5928">
        <w:t>past</w:t>
      </w:r>
      <w:r w:rsidR="00FD5928" w:rsidRPr="00FD5928">
        <w:t xml:space="preserve"> GLDC impact studies</w:t>
      </w:r>
      <w:r w:rsidR="00FD5928">
        <w:t xml:space="preserve"> is </w:t>
      </w:r>
      <w:r w:rsidR="00FD5928" w:rsidRPr="00FD5928">
        <w:t xml:space="preserve">on track for finalization by the end of March 2019.  </w:t>
      </w:r>
      <w:r w:rsidR="00FD5928">
        <w:t xml:space="preserve">Similarly, </w:t>
      </w:r>
      <w:r w:rsidR="00FD5928" w:rsidRPr="00FD5928">
        <w:t xml:space="preserve">a </w:t>
      </w:r>
      <w:r w:rsidR="000F3686">
        <w:t xml:space="preserve">final report on </w:t>
      </w:r>
      <w:r w:rsidR="00FD5928" w:rsidRPr="00FD5928">
        <w:t>the main scaling approaches used in four large GLDC scaling projects</w:t>
      </w:r>
      <w:r w:rsidR="00FD5928">
        <w:t xml:space="preserve"> will be completed</w:t>
      </w:r>
      <w:r w:rsidR="000F3686">
        <w:t xml:space="preserve"> in March 2019. The projects include</w:t>
      </w:r>
      <w:r w:rsidR="00FD5928" w:rsidRPr="00FD5928">
        <w:t xml:space="preserve"> Malawi Improved Seed Systems and Technologies (MISST), Harnessing Opportunities for Productivity Enhancement -Phase 2 (HOPE 2), Tropical Legumes-Phase III (TLIII), and Feed the Future Kenya (</w:t>
      </w:r>
      <w:proofErr w:type="spellStart"/>
      <w:r w:rsidR="00FD5928" w:rsidRPr="00FD5928">
        <w:t>FtF</w:t>
      </w:r>
      <w:proofErr w:type="spellEnd"/>
      <w:r w:rsidR="00FD5928" w:rsidRPr="00FD5928">
        <w:t xml:space="preserve">-Kenya). </w:t>
      </w:r>
      <w:r w:rsidR="000F3686">
        <w:t xml:space="preserve">Researchers </w:t>
      </w:r>
      <w:r w:rsidR="00FD5928" w:rsidRPr="00FD5928">
        <w:t>review</w:t>
      </w:r>
      <w:r w:rsidR="000F3686">
        <w:t>ed the</w:t>
      </w:r>
      <w:r w:rsidR="00FD5928" w:rsidRPr="00FD5928">
        <w:t xml:space="preserve"> scaling literature </w:t>
      </w:r>
      <w:r w:rsidR="00FD5928">
        <w:t>and</w:t>
      </w:r>
      <w:r w:rsidR="00FD5928" w:rsidRPr="00FD5928">
        <w:t xml:space="preserve"> the scaling approaches used </w:t>
      </w:r>
      <w:r w:rsidR="00FD5928">
        <w:t xml:space="preserve">in </w:t>
      </w:r>
      <w:r w:rsidR="00FD5928" w:rsidRPr="00FD5928">
        <w:t>these four projects, which included field visits to sites in both Kenya and Malawi</w:t>
      </w:r>
      <w:r w:rsidR="000F3686">
        <w:t>. A</w:t>
      </w:r>
      <w:r w:rsidR="00FD5928" w:rsidRPr="00FD5928">
        <w:t xml:space="preserve"> draft 'idealized' scaling framework </w:t>
      </w:r>
      <w:r w:rsidR="000F3686">
        <w:t>has been</w:t>
      </w:r>
      <w:r w:rsidR="00FD5928" w:rsidRPr="00FD5928">
        <w:t xml:space="preserve"> developed to structure the review of the GLDC scaling projects. </w:t>
      </w:r>
    </w:p>
    <w:p w14:paraId="6EEFF7F1" w14:textId="77777777" w:rsidR="00FD5928" w:rsidRDefault="00FD5928" w:rsidP="00FD5928">
      <w:pPr>
        <w:jc w:val="both"/>
      </w:pPr>
    </w:p>
    <w:p w14:paraId="0AC06EE6" w14:textId="4AF69627" w:rsidR="00FD5928" w:rsidRDefault="000F3686" w:rsidP="002B4570">
      <w:pPr>
        <w:jc w:val="both"/>
      </w:pPr>
      <w:r>
        <w:t xml:space="preserve">A study was conducted to assess the adoption and </w:t>
      </w:r>
      <w:r w:rsidR="00EE53B6">
        <w:t xml:space="preserve">farm level </w:t>
      </w:r>
      <w:r w:rsidR="00FD5928" w:rsidRPr="00FD5928">
        <w:t xml:space="preserve">impacts of improved cowpea varieties in Nigeria. Using a nationally representative survey data from a sample of </w:t>
      </w:r>
      <w:r w:rsidR="00EE53B6">
        <w:t xml:space="preserve">over </w:t>
      </w:r>
      <w:r w:rsidR="00FD5928" w:rsidRPr="00FD5928">
        <w:t>15</w:t>
      </w:r>
      <w:r w:rsidR="00EE53B6">
        <w:t>00</w:t>
      </w:r>
      <w:r w:rsidR="00FD5928" w:rsidRPr="00FD5928">
        <w:t xml:space="preserve"> </w:t>
      </w:r>
      <w:r w:rsidR="00FD5928" w:rsidRPr="00FD5928">
        <w:lastRenderedPageBreak/>
        <w:t>cowpea growing households cultivating over 1000 plots, the study assessed the adoption and impacts of improved cowpea varieties on cowpea yields and net crop incomes</w:t>
      </w:r>
      <w:r>
        <w:t xml:space="preserve"> using </w:t>
      </w:r>
      <w:r w:rsidR="00FD5928" w:rsidRPr="00FD5928">
        <w:t xml:space="preserve">the control function approach as well as endogenous switching regression and marginal treatment effects models. The results showed that </w:t>
      </w:r>
      <w:r w:rsidR="00EE3829">
        <w:t>29</w:t>
      </w:r>
      <w:r w:rsidR="00FD7272">
        <w:t xml:space="preserve">% of the cowpea area </w:t>
      </w:r>
      <w:r w:rsidR="00805259">
        <w:t xml:space="preserve">was planted to improved varieties and </w:t>
      </w:r>
      <w:r w:rsidR="00FD5928" w:rsidRPr="00FD5928">
        <w:t xml:space="preserve">38% of the sample households adopted </w:t>
      </w:r>
      <w:r w:rsidR="00805259">
        <w:t>these</w:t>
      </w:r>
      <w:r w:rsidR="00FD5928" w:rsidRPr="00FD5928">
        <w:t xml:space="preserve"> varieties</w:t>
      </w:r>
      <w:r w:rsidR="00805259">
        <w:t xml:space="preserve">. </w:t>
      </w:r>
      <w:r w:rsidR="002B4570">
        <w:t xml:space="preserve">The most widely adopted cowpea varieties are IT89KD-288 </w:t>
      </w:r>
      <w:r w:rsidR="002B4570" w:rsidRPr="002B4570">
        <w:t>(</w:t>
      </w:r>
      <w:proofErr w:type="spellStart"/>
      <w:r w:rsidR="002B4570" w:rsidRPr="002B4570">
        <w:rPr>
          <w:i/>
        </w:rPr>
        <w:t>Sampea</w:t>
      </w:r>
      <w:proofErr w:type="spellEnd"/>
      <w:r w:rsidR="00EE3829">
        <w:rPr>
          <w:i/>
        </w:rPr>
        <w:t xml:space="preserve"> </w:t>
      </w:r>
      <w:r w:rsidR="002B4570" w:rsidRPr="002B4570">
        <w:rPr>
          <w:i/>
        </w:rPr>
        <w:t>11</w:t>
      </w:r>
      <w:r w:rsidR="002B4570" w:rsidRPr="002B4570">
        <w:t>)</w:t>
      </w:r>
      <w:r w:rsidR="002B4570">
        <w:t xml:space="preserve"> and IT99K-216-24-2 (</w:t>
      </w:r>
      <w:proofErr w:type="spellStart"/>
      <w:r w:rsidR="002B4570" w:rsidRPr="002B4570">
        <w:rPr>
          <w:i/>
        </w:rPr>
        <w:t>Kwankwaso</w:t>
      </w:r>
      <w:proofErr w:type="spellEnd"/>
      <w:r w:rsidR="002B4570">
        <w:t xml:space="preserve">) followed by </w:t>
      </w:r>
      <w:r w:rsidR="002B4570" w:rsidRPr="002B4570">
        <w:t>UAM09-1055-6 (</w:t>
      </w:r>
      <w:proofErr w:type="spellStart"/>
      <w:r w:rsidR="002B4570" w:rsidRPr="00EE3829">
        <w:rPr>
          <w:i/>
        </w:rPr>
        <w:t>Fuampea</w:t>
      </w:r>
      <w:proofErr w:type="spellEnd"/>
      <w:r w:rsidR="002B4570" w:rsidRPr="00EE3829">
        <w:rPr>
          <w:i/>
        </w:rPr>
        <w:t xml:space="preserve"> 1</w:t>
      </w:r>
      <w:r w:rsidR="002B4570" w:rsidRPr="002B4570">
        <w:t>)</w:t>
      </w:r>
      <w:r w:rsidR="002B4570">
        <w:t xml:space="preserve"> and </w:t>
      </w:r>
      <w:r w:rsidR="002B4570" w:rsidRPr="002B4570">
        <w:t>IT90K-277-2 (</w:t>
      </w:r>
      <w:proofErr w:type="spellStart"/>
      <w:r w:rsidR="002B4570" w:rsidRPr="00EE3829">
        <w:rPr>
          <w:i/>
        </w:rPr>
        <w:t>Sampea</w:t>
      </w:r>
      <w:proofErr w:type="spellEnd"/>
      <w:r w:rsidR="002B4570" w:rsidRPr="00EE3829">
        <w:rPr>
          <w:i/>
        </w:rPr>
        <w:t xml:space="preserve"> 9</w:t>
      </w:r>
      <w:r w:rsidR="002B4570" w:rsidRPr="002B4570">
        <w:t>)</w:t>
      </w:r>
      <w:r w:rsidR="002B4570">
        <w:t>. The results further showed that a</w:t>
      </w:r>
      <w:r w:rsidR="00FD5928" w:rsidRPr="00FD5928">
        <w:t xml:space="preserve">doption of improved cowpea varieties increased </w:t>
      </w:r>
      <w:r w:rsidR="00EE3829">
        <w:t xml:space="preserve">cowpea </w:t>
      </w:r>
      <w:r w:rsidR="00FD5928" w:rsidRPr="00FD5928">
        <w:t>yields by 29–40% and incomes by 26–28%.</w:t>
      </w:r>
      <w:r w:rsidR="00EE53B6">
        <w:t xml:space="preserve"> </w:t>
      </w:r>
    </w:p>
    <w:p w14:paraId="73B07046" w14:textId="77777777" w:rsidR="0094496E" w:rsidRPr="00FD5928" w:rsidRDefault="0094496E" w:rsidP="00FD5928">
      <w:pPr>
        <w:jc w:val="both"/>
      </w:pPr>
    </w:p>
    <w:p w14:paraId="4206F213" w14:textId="77777777" w:rsidR="002C0A23" w:rsidRPr="0094496E" w:rsidRDefault="002C0A23" w:rsidP="0094496E">
      <w:pPr>
        <w:jc w:val="both"/>
        <w:rPr>
          <w:rFonts w:ascii="Arial" w:hAnsi="Arial" w:cs="Arial"/>
          <w:color w:val="0070C0"/>
          <w:sz w:val="27"/>
          <w:szCs w:val="27"/>
        </w:rPr>
      </w:pPr>
      <w:bookmarkStart w:id="2" w:name="_Toc535553051"/>
      <w:bookmarkStart w:id="3" w:name="_Toc535554730"/>
      <w:bookmarkStart w:id="4" w:name="_Toc535554952"/>
      <w:bookmarkStart w:id="5" w:name="_Toc535554993"/>
      <w:r w:rsidRPr="0094496E">
        <w:rPr>
          <w:rFonts w:ascii="Arial" w:hAnsi="Arial" w:cs="Arial"/>
          <w:color w:val="0070C0"/>
          <w:sz w:val="27"/>
          <w:szCs w:val="27"/>
        </w:rPr>
        <w:t>Variance from Planned Program for this year</w:t>
      </w:r>
      <w:bookmarkEnd w:id="2"/>
      <w:bookmarkEnd w:id="3"/>
      <w:bookmarkEnd w:id="4"/>
      <w:bookmarkEnd w:id="5"/>
    </w:p>
    <w:p w14:paraId="5ECC4D14" w14:textId="056D7819" w:rsidR="002C0A23" w:rsidRDefault="006B6160" w:rsidP="002C0A23">
      <w:pPr>
        <w:jc w:val="both"/>
      </w:pPr>
      <w:r>
        <w:t>There were no</w:t>
      </w:r>
      <w:r w:rsidR="002C0A23">
        <w:t xml:space="preserve"> research areas </w:t>
      </w:r>
      <w:r>
        <w:t xml:space="preserve">that have </w:t>
      </w:r>
      <w:r w:rsidR="002C0A23">
        <w:t>been significantly expanded</w:t>
      </w:r>
      <w:r>
        <w:t xml:space="preserve"> or that have been </w:t>
      </w:r>
      <w:r w:rsidR="002C0A23">
        <w:t>dropped or significantly cut back</w:t>
      </w:r>
      <w:r>
        <w:t>.</w:t>
      </w:r>
      <w:r w:rsidR="00C10B99">
        <w:t xml:space="preserve"> Given that 2018 was the first year of GLDC, no </w:t>
      </w:r>
      <w:r w:rsidR="002C0A23">
        <w:t>Flagships or specific research areas changed direction</w:t>
      </w:r>
      <w:r w:rsidR="00C10B99">
        <w:t xml:space="preserve">. </w:t>
      </w:r>
    </w:p>
    <w:p w14:paraId="53A5040A" w14:textId="3193E6E7" w:rsidR="004A57B1" w:rsidRDefault="004A57B1" w:rsidP="002C0A23">
      <w:pPr>
        <w:jc w:val="both"/>
      </w:pPr>
    </w:p>
    <w:p w14:paraId="5EB5E7AF" w14:textId="77777777" w:rsidR="002C0A23" w:rsidRPr="004A57B1" w:rsidRDefault="002C0A23" w:rsidP="004A57B1">
      <w:pPr>
        <w:jc w:val="both"/>
        <w:rPr>
          <w:rFonts w:ascii="Arial" w:hAnsi="Arial" w:cs="Arial"/>
          <w:color w:val="0070C0"/>
          <w:sz w:val="27"/>
          <w:szCs w:val="27"/>
        </w:rPr>
      </w:pPr>
      <w:bookmarkStart w:id="6" w:name="_Toc535553052"/>
      <w:bookmarkStart w:id="7" w:name="_Toc535554731"/>
      <w:bookmarkStart w:id="8" w:name="_Toc535554953"/>
      <w:bookmarkStart w:id="9" w:name="_Toc535554994"/>
      <w:r w:rsidRPr="004A57B1">
        <w:rPr>
          <w:rFonts w:ascii="Arial" w:hAnsi="Arial" w:cs="Arial"/>
          <w:color w:val="0070C0"/>
          <w:sz w:val="27"/>
          <w:szCs w:val="27"/>
        </w:rPr>
        <w:t>PARTNESHIPS: ACHIEVEMENT AND CHALLENGES</w:t>
      </w:r>
      <w:bookmarkEnd w:id="6"/>
      <w:bookmarkEnd w:id="7"/>
      <w:bookmarkEnd w:id="8"/>
      <w:bookmarkEnd w:id="9"/>
    </w:p>
    <w:p w14:paraId="0386023D" w14:textId="77777777" w:rsidR="002C0A23" w:rsidRPr="004A57B1" w:rsidRDefault="002C0A23" w:rsidP="004A57B1">
      <w:pPr>
        <w:jc w:val="both"/>
        <w:rPr>
          <w:rFonts w:ascii="Arial" w:hAnsi="Arial" w:cs="Arial"/>
          <w:color w:val="0070C0"/>
          <w:sz w:val="27"/>
          <w:szCs w:val="27"/>
        </w:rPr>
      </w:pPr>
      <w:bookmarkStart w:id="10" w:name="_Toc535553053"/>
      <w:bookmarkStart w:id="11" w:name="_Toc535554732"/>
      <w:bookmarkStart w:id="12" w:name="_Toc535554954"/>
      <w:bookmarkStart w:id="13" w:name="_Toc535554995"/>
      <w:r w:rsidRPr="004A57B1">
        <w:rPr>
          <w:rFonts w:ascii="Arial" w:hAnsi="Arial" w:cs="Arial"/>
          <w:color w:val="0070C0"/>
          <w:sz w:val="27"/>
          <w:szCs w:val="27"/>
        </w:rPr>
        <w:t>Highlights of External Partnerships</w:t>
      </w:r>
      <w:bookmarkEnd w:id="10"/>
      <w:bookmarkEnd w:id="11"/>
      <w:bookmarkEnd w:id="12"/>
      <w:bookmarkEnd w:id="13"/>
      <w:r w:rsidRPr="004A57B1">
        <w:rPr>
          <w:rFonts w:ascii="Arial" w:hAnsi="Arial" w:cs="Arial"/>
          <w:color w:val="0070C0"/>
          <w:sz w:val="27"/>
          <w:szCs w:val="27"/>
        </w:rPr>
        <w:t xml:space="preserve"> </w:t>
      </w:r>
    </w:p>
    <w:p w14:paraId="3D3A65F0" w14:textId="73B70036" w:rsidR="00793CD0" w:rsidRPr="00793CD0" w:rsidRDefault="00DC0616" w:rsidP="00793CD0">
      <w:pPr>
        <w:jc w:val="both"/>
      </w:pPr>
      <w:r>
        <w:t xml:space="preserve">The work on household aspirations involved </w:t>
      </w:r>
      <w:r w:rsidRPr="00DC0616">
        <w:t xml:space="preserve">collaboration with the </w:t>
      </w:r>
      <w:proofErr w:type="spellStart"/>
      <w:r w:rsidRPr="00DC0616">
        <w:t>Cynefin</w:t>
      </w:r>
      <w:proofErr w:type="spellEnd"/>
      <w:r w:rsidRPr="00DC0616">
        <w:t xml:space="preserve"> </w:t>
      </w:r>
      <w:proofErr w:type="spellStart"/>
      <w:r w:rsidRPr="00DC0616">
        <w:t>centre</w:t>
      </w:r>
      <w:proofErr w:type="spellEnd"/>
      <w:r w:rsidRPr="00DC0616">
        <w:t xml:space="preserve"> </w:t>
      </w:r>
      <w:r>
        <w:t>with</w:t>
      </w:r>
      <w:r w:rsidRPr="00DC0616">
        <w:t xml:space="preserve"> co-funding </w:t>
      </w:r>
      <w:r>
        <w:t xml:space="preserve">received </w:t>
      </w:r>
      <w:r w:rsidRPr="00DC0616">
        <w:t>from the center in the form of free staff time</w:t>
      </w:r>
      <w:r>
        <w:t xml:space="preserve"> and</w:t>
      </w:r>
      <w:r w:rsidRPr="00DC0616">
        <w:t xml:space="preserve"> follow up workshops. The </w:t>
      </w:r>
      <w:proofErr w:type="spellStart"/>
      <w:r w:rsidRPr="00DC0616">
        <w:t>sensemaker</w:t>
      </w:r>
      <w:proofErr w:type="spellEnd"/>
      <w:r w:rsidRPr="00DC0616">
        <w:t xml:space="preserve"> method used and adjusted for the agricultural setting has been popularized and is being used in other GLDC activities. One proposal is under development for bilateral funding</w:t>
      </w:r>
      <w:r>
        <w:t xml:space="preserve">. </w:t>
      </w:r>
      <w:r w:rsidR="00872A97">
        <w:t xml:space="preserve">The team working on gender and youth established partnerships </w:t>
      </w:r>
      <w:r w:rsidR="008646FE">
        <w:t xml:space="preserve">with </w:t>
      </w:r>
      <w:r w:rsidR="00872A97">
        <w:t>M</w:t>
      </w:r>
      <w:r w:rsidR="00872A97" w:rsidRPr="00872A97">
        <w:t xml:space="preserve">akerere </w:t>
      </w:r>
      <w:proofErr w:type="spellStart"/>
      <w:r w:rsidR="00872A97" w:rsidRPr="00872A97">
        <w:t>Univeristy</w:t>
      </w:r>
      <w:proofErr w:type="spellEnd"/>
      <w:r w:rsidR="00872A97">
        <w:t xml:space="preserve"> in Uganda, </w:t>
      </w:r>
      <w:proofErr w:type="spellStart"/>
      <w:r w:rsidR="00872A97" w:rsidRPr="00872A97">
        <w:t>Haramaya</w:t>
      </w:r>
      <w:proofErr w:type="spellEnd"/>
      <w:r w:rsidR="00872A97" w:rsidRPr="00872A97">
        <w:t xml:space="preserve"> University</w:t>
      </w:r>
      <w:r w:rsidR="00872A97">
        <w:t xml:space="preserve"> in Ethiopia, </w:t>
      </w:r>
      <w:proofErr w:type="spellStart"/>
      <w:r w:rsidR="00872A97" w:rsidRPr="00872A97">
        <w:t>Sokoine</w:t>
      </w:r>
      <w:proofErr w:type="spellEnd"/>
      <w:r w:rsidR="00872A97" w:rsidRPr="00872A97">
        <w:t xml:space="preserve"> University of Agriculture</w:t>
      </w:r>
      <w:r w:rsidR="00872A97">
        <w:t xml:space="preserve"> in Tanzania, and </w:t>
      </w:r>
      <w:r w:rsidR="00872A97" w:rsidRPr="00872A97">
        <w:t>University of Nairob</w:t>
      </w:r>
      <w:r w:rsidR="00872A97">
        <w:t xml:space="preserve">i in Kenya. </w:t>
      </w:r>
      <w:r>
        <w:t>The work on synthesis of impact studies and scaling approaches in GLDC projects involved a p</w:t>
      </w:r>
      <w:r w:rsidR="00250962" w:rsidRPr="00250962">
        <w:t>artnership with University of Wisconsin through the exchange visits of the two PhD students.</w:t>
      </w:r>
      <w:r>
        <w:t xml:space="preserve"> </w:t>
      </w:r>
      <w:r w:rsidR="00250962" w:rsidRPr="00250962">
        <w:t xml:space="preserve">The cowpea adoption and impact </w:t>
      </w:r>
      <w:r>
        <w:t>study</w:t>
      </w:r>
      <w:r w:rsidR="00250962" w:rsidRPr="00250962">
        <w:t xml:space="preserve"> </w:t>
      </w:r>
      <w:proofErr w:type="gramStart"/>
      <w:r w:rsidR="00250962" w:rsidRPr="00250962">
        <w:t>was</w:t>
      </w:r>
      <w:proofErr w:type="gramEnd"/>
      <w:r w:rsidR="00250962" w:rsidRPr="00250962">
        <w:t xml:space="preserve"> conducted in partnership with cowpea breeders and agronomists at IITA and </w:t>
      </w:r>
      <w:r>
        <w:t xml:space="preserve">Nigeria’s </w:t>
      </w:r>
      <w:r w:rsidR="00250962" w:rsidRPr="00250962">
        <w:t>I</w:t>
      </w:r>
      <w:r>
        <w:t>nstitute of Agricultural Research</w:t>
      </w:r>
      <w:r w:rsidR="00250962" w:rsidRPr="00250962">
        <w:t>. Through constant interactions and consultations, the study benefited from technical inputs from breeders and agronomists who were involved in the development and dissemination of improved varieties and agronomic practices.</w:t>
      </w:r>
      <w:r w:rsidR="00505983">
        <w:t xml:space="preserve"> </w:t>
      </w:r>
      <w:r w:rsidR="007F612B">
        <w:t>There were s</w:t>
      </w:r>
      <w:r w:rsidR="00793CD0" w:rsidRPr="00793CD0">
        <w:t xml:space="preserve">ome challenges </w:t>
      </w:r>
      <w:r w:rsidR="007F612B">
        <w:t xml:space="preserve">regarding </w:t>
      </w:r>
      <w:r w:rsidR="00793CD0" w:rsidRPr="00793CD0">
        <w:t xml:space="preserve">new partnerships outside the traditional CGIAR types of partners as a mutual understanding of operational and methodological approaches and implementation arrangements had to be set up. </w:t>
      </w:r>
    </w:p>
    <w:p w14:paraId="0DDCB454" w14:textId="77777777" w:rsidR="00793CD0" w:rsidRDefault="00793CD0" w:rsidP="002C0A23">
      <w:pPr>
        <w:jc w:val="both"/>
      </w:pPr>
    </w:p>
    <w:p w14:paraId="61FAA886" w14:textId="77777777" w:rsidR="002C0A23" w:rsidRPr="004A57B1" w:rsidRDefault="002C0A23" w:rsidP="004A57B1">
      <w:pPr>
        <w:jc w:val="both"/>
        <w:rPr>
          <w:rFonts w:ascii="Arial" w:hAnsi="Arial" w:cs="Arial"/>
          <w:color w:val="0070C0"/>
          <w:sz w:val="27"/>
          <w:szCs w:val="27"/>
        </w:rPr>
      </w:pPr>
      <w:r w:rsidRPr="004A57B1">
        <w:rPr>
          <w:rFonts w:ascii="Arial" w:hAnsi="Arial" w:cs="Arial"/>
          <w:color w:val="0070C0"/>
          <w:sz w:val="27"/>
          <w:szCs w:val="27"/>
        </w:rPr>
        <w:t xml:space="preserve">Cross-CGIAR Partnerships </w:t>
      </w:r>
    </w:p>
    <w:p w14:paraId="06280D7B" w14:textId="5B36E7E2" w:rsidR="008E0EB6" w:rsidRDefault="00F10169" w:rsidP="008E0EB6">
      <w:pPr>
        <w:jc w:val="both"/>
      </w:pPr>
      <w:r>
        <w:t xml:space="preserve">A partnership with PIM has enabled </w:t>
      </w:r>
      <w:r w:rsidR="009A6FBB">
        <w:t xml:space="preserve">researchers in Flagship 1 to </w:t>
      </w:r>
      <w:r w:rsidR="002D63B9">
        <w:t>update the GLDC database of</w:t>
      </w:r>
      <w:r w:rsidR="009A6FBB">
        <w:t xml:space="preserve"> the </w:t>
      </w:r>
      <w:r w:rsidR="009A6FBB" w:rsidRPr="009A6FBB">
        <w:t>International Model for the Policy Analysis of Agricultural Commodities and Trade (IMPACT)</w:t>
      </w:r>
      <w:r w:rsidR="009A6FBB">
        <w:t xml:space="preserve"> for</w:t>
      </w:r>
      <w:r>
        <w:t xml:space="preserve"> f</w:t>
      </w:r>
      <w:r w:rsidRPr="00F10169">
        <w:t xml:space="preserve">oresight modeling and ex-ante analysis </w:t>
      </w:r>
      <w:r w:rsidR="009A6FBB">
        <w:t>for</w:t>
      </w:r>
      <w:r w:rsidRPr="00F10169">
        <w:t xml:space="preserve"> priority setting</w:t>
      </w:r>
      <w:r w:rsidR="009A6FBB">
        <w:t xml:space="preserve">. </w:t>
      </w:r>
      <w:r w:rsidR="00F9749B">
        <w:t>R</w:t>
      </w:r>
      <w:r w:rsidR="00A1371D" w:rsidRPr="0016709B">
        <w:t xml:space="preserve">esearchers in Flagship 1 </w:t>
      </w:r>
      <w:r w:rsidR="0016709B" w:rsidRPr="0016709B">
        <w:t>work closely with t</w:t>
      </w:r>
      <w:r w:rsidR="00A1371D" w:rsidRPr="00A1371D">
        <w:t xml:space="preserve">he CGIAR Collaborative Platform for Gender Research. </w:t>
      </w:r>
      <w:proofErr w:type="gramStart"/>
      <w:r w:rsidR="0016709B" w:rsidRPr="0016709B">
        <w:t>A number of</w:t>
      </w:r>
      <w:proofErr w:type="gramEnd"/>
      <w:r w:rsidR="0016709B" w:rsidRPr="0016709B">
        <w:t xml:space="preserve"> </w:t>
      </w:r>
      <w:r w:rsidR="00A1371D" w:rsidRPr="00A1371D">
        <w:t>gender researchers from CGIAR (plus an equal number from outside the system) attend the platform’s scientific conference and capacity development workshop</w:t>
      </w:r>
      <w:r w:rsidR="0016709B" w:rsidRPr="0016709B">
        <w:t>s</w:t>
      </w:r>
      <w:r w:rsidR="00A1371D" w:rsidRPr="00A1371D">
        <w:t xml:space="preserve">. </w:t>
      </w:r>
      <w:r w:rsidR="0016709B">
        <w:t>In 2018, g</w:t>
      </w:r>
      <w:r w:rsidR="0016709B" w:rsidRPr="0016709B">
        <w:t xml:space="preserve">ender researchers in Flagship 1 </w:t>
      </w:r>
      <w:r w:rsidR="0016709B">
        <w:t xml:space="preserve">attended the </w:t>
      </w:r>
      <w:r w:rsidR="0016709B" w:rsidRPr="0016709B">
        <w:t>Annual Scientific Conference and Capacity Development Workshop</w:t>
      </w:r>
      <w:r w:rsidR="0016709B">
        <w:t xml:space="preserve"> on 25-28 September 2018 in Addis Ababa, Ethiopia.</w:t>
      </w:r>
      <w:r w:rsidR="002D63B9">
        <w:t xml:space="preserve"> </w:t>
      </w:r>
      <w:r w:rsidR="008E0EB6">
        <w:t xml:space="preserve">A new partnership between ICRAF, ICRISAT and the </w:t>
      </w:r>
      <w:proofErr w:type="spellStart"/>
      <w:r w:rsidR="008E0EB6">
        <w:t>Cynefin</w:t>
      </w:r>
      <w:proofErr w:type="spellEnd"/>
      <w:r w:rsidR="008E0EB6">
        <w:t xml:space="preserve"> Center is shedding light on how multiple income streams interact and the role they play in determining household aspirations. The combination of </w:t>
      </w:r>
      <w:proofErr w:type="spellStart"/>
      <w:r w:rsidR="002D63B9">
        <w:t>Cynefin</w:t>
      </w:r>
      <w:proofErr w:type="spellEnd"/>
      <w:r w:rsidR="002D63B9">
        <w:t xml:space="preserve"> Center’s </w:t>
      </w:r>
      <w:r w:rsidR="008E0EB6">
        <w:t xml:space="preserve">distributed ethnography tools and </w:t>
      </w:r>
      <w:r w:rsidR="002D63B9">
        <w:t xml:space="preserve">ICRAF and </w:t>
      </w:r>
      <w:r w:rsidR="002D63B9">
        <w:lastRenderedPageBreak/>
        <w:t xml:space="preserve">ICRISAT’s </w:t>
      </w:r>
      <w:r w:rsidR="008E0EB6">
        <w:t>deeper understanding of the farming system in developing countries now allows the team to conduct ethnography at scale.</w:t>
      </w:r>
    </w:p>
    <w:p w14:paraId="3153A4B8" w14:textId="77777777" w:rsidR="008E0EB6" w:rsidRDefault="008E0EB6" w:rsidP="002C0A23">
      <w:pPr>
        <w:jc w:val="both"/>
      </w:pPr>
    </w:p>
    <w:p w14:paraId="681FFE02" w14:textId="4E92D823" w:rsidR="002C0A23" w:rsidRDefault="002C0A23" w:rsidP="002C0A23">
      <w:pPr>
        <w:jc w:val="both"/>
        <w:sectPr w:rsidR="002C0A23" w:rsidSect="008646FE">
          <w:headerReference w:type="default" r:id="rId7"/>
          <w:footerReference w:type="default" r:id="rId8"/>
          <w:headerReference w:type="first" r:id="rId9"/>
          <w:pgSz w:w="12240" w:h="15840" w:code="1"/>
          <w:pgMar w:top="1411" w:right="1699" w:bottom="1411" w:left="1699" w:header="720" w:footer="720" w:gutter="0"/>
          <w:cols w:space="720"/>
          <w:titlePg/>
          <w:docGrid w:linePitch="360"/>
        </w:sectPr>
      </w:pPr>
    </w:p>
    <w:p w14:paraId="2E60910F" w14:textId="77777777" w:rsidR="002C0A23" w:rsidRPr="00A40048" w:rsidRDefault="002C0A23" w:rsidP="00A40048">
      <w:pPr>
        <w:jc w:val="both"/>
        <w:rPr>
          <w:rFonts w:ascii="Arial" w:hAnsi="Arial" w:cs="Arial"/>
          <w:color w:val="0070C0"/>
          <w:sz w:val="27"/>
          <w:szCs w:val="27"/>
        </w:rPr>
      </w:pPr>
      <w:bookmarkStart w:id="14" w:name="_Toc535553054"/>
      <w:bookmarkStart w:id="15" w:name="_Toc535554733"/>
      <w:bookmarkStart w:id="16" w:name="_Toc535554955"/>
      <w:bookmarkStart w:id="17" w:name="_Toc535554996"/>
      <w:r w:rsidRPr="00A40048">
        <w:rPr>
          <w:rFonts w:ascii="Arial" w:hAnsi="Arial" w:cs="Arial"/>
          <w:color w:val="0070C0"/>
          <w:sz w:val="27"/>
          <w:szCs w:val="27"/>
        </w:rPr>
        <w:lastRenderedPageBreak/>
        <w:t>Table 1: MILESTONEs TABLE 2018</w:t>
      </w:r>
      <w:bookmarkEnd w:id="14"/>
      <w:bookmarkEnd w:id="15"/>
      <w:bookmarkEnd w:id="16"/>
      <w:bookmarkEnd w:id="17"/>
    </w:p>
    <w:p w14:paraId="49A9A95E" w14:textId="77777777" w:rsidR="002C0A23" w:rsidRPr="00614496" w:rsidRDefault="002C0A23" w:rsidP="002C0A23">
      <w:r>
        <w:t>Reference to the Milestone table related to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09"/>
        <w:gridCol w:w="1415"/>
        <w:gridCol w:w="2073"/>
        <w:gridCol w:w="1477"/>
        <w:gridCol w:w="1844"/>
        <w:gridCol w:w="3016"/>
        <w:gridCol w:w="3016"/>
      </w:tblGrid>
      <w:tr w:rsidR="002C0A23" w:rsidRPr="00D93BF7" w14:paraId="2AC66B01" w14:textId="77777777" w:rsidTr="00CB5095">
        <w:trPr>
          <w:trHeight w:val="2029"/>
        </w:trPr>
        <w:tc>
          <w:tcPr>
            <w:tcW w:w="397" w:type="pct"/>
            <w:shd w:val="clear" w:color="auto" w:fill="FFFFFF" w:themeFill="background1" w:themeFillTint="33"/>
            <w:tcMar>
              <w:top w:w="100" w:type="dxa"/>
              <w:left w:w="100" w:type="dxa"/>
              <w:bottom w:w="100" w:type="dxa"/>
              <w:right w:w="100" w:type="dxa"/>
            </w:tcMar>
          </w:tcPr>
          <w:p w14:paraId="0CD3487A" w14:textId="77777777" w:rsidR="002C0A23" w:rsidRPr="00D93BF7" w:rsidRDefault="002C0A23" w:rsidP="008646FE">
            <w:pPr>
              <w:rPr>
                <w:b/>
                <w:sz w:val="20"/>
                <w:szCs w:val="20"/>
              </w:rPr>
            </w:pPr>
            <w:r w:rsidRPr="00D93BF7">
              <w:rPr>
                <w:b/>
                <w:sz w:val="20"/>
                <w:szCs w:val="20"/>
              </w:rPr>
              <w:t>FP</w:t>
            </w:r>
          </w:p>
        </w:tc>
        <w:tc>
          <w:tcPr>
            <w:tcW w:w="507" w:type="pct"/>
            <w:shd w:val="clear" w:color="auto" w:fill="FFFFFF" w:themeFill="background1" w:themeFillTint="33"/>
            <w:tcMar>
              <w:top w:w="100" w:type="dxa"/>
              <w:left w:w="100" w:type="dxa"/>
              <w:bottom w:w="100" w:type="dxa"/>
              <w:right w:w="100" w:type="dxa"/>
            </w:tcMar>
          </w:tcPr>
          <w:p w14:paraId="2090352F" w14:textId="77777777" w:rsidR="002C0A23" w:rsidRPr="00D93BF7" w:rsidRDefault="002C0A23" w:rsidP="008646FE">
            <w:pPr>
              <w:jc w:val="center"/>
              <w:rPr>
                <w:b/>
                <w:sz w:val="20"/>
                <w:szCs w:val="20"/>
              </w:rPr>
            </w:pPr>
            <w:r w:rsidRPr="00D93BF7">
              <w:rPr>
                <w:b/>
                <w:sz w:val="20"/>
                <w:szCs w:val="20"/>
              </w:rPr>
              <w:t xml:space="preserve">FP outcomes 2022 </w:t>
            </w:r>
          </w:p>
        </w:tc>
        <w:tc>
          <w:tcPr>
            <w:tcW w:w="743" w:type="pct"/>
            <w:shd w:val="clear" w:color="auto" w:fill="FFFFFF" w:themeFill="background1" w:themeFillTint="33"/>
            <w:tcMar>
              <w:top w:w="100" w:type="dxa"/>
              <w:left w:w="100" w:type="dxa"/>
              <w:bottom w:w="100" w:type="dxa"/>
              <w:right w:w="100" w:type="dxa"/>
            </w:tcMar>
          </w:tcPr>
          <w:p w14:paraId="5754FCC7" w14:textId="77777777" w:rsidR="002C0A23" w:rsidRPr="00D93BF7" w:rsidRDefault="002C0A23" w:rsidP="008646FE">
            <w:pPr>
              <w:rPr>
                <w:b/>
                <w:sz w:val="20"/>
                <w:szCs w:val="20"/>
              </w:rPr>
            </w:pPr>
            <w:r w:rsidRPr="00D93BF7">
              <w:rPr>
                <w:b/>
                <w:sz w:val="20"/>
                <w:szCs w:val="20"/>
              </w:rPr>
              <w:t xml:space="preserve">Summary narrative on progress against each FP outcome this year.  </w:t>
            </w:r>
          </w:p>
        </w:tc>
        <w:tc>
          <w:tcPr>
            <w:tcW w:w="529" w:type="pct"/>
            <w:shd w:val="clear" w:color="auto" w:fill="FFFFFF" w:themeFill="background1" w:themeFillTint="33"/>
            <w:tcMar>
              <w:top w:w="100" w:type="dxa"/>
              <w:left w:w="100" w:type="dxa"/>
              <w:bottom w:w="100" w:type="dxa"/>
              <w:right w:w="100" w:type="dxa"/>
            </w:tcMar>
          </w:tcPr>
          <w:p w14:paraId="72723AAD" w14:textId="77777777" w:rsidR="002C0A23" w:rsidRPr="00D93BF7" w:rsidRDefault="002C0A23" w:rsidP="008646FE">
            <w:pPr>
              <w:jc w:val="center"/>
              <w:rPr>
                <w:b/>
                <w:sz w:val="20"/>
                <w:szCs w:val="20"/>
              </w:rPr>
            </w:pPr>
            <w:r w:rsidRPr="00D93BF7">
              <w:rPr>
                <w:b/>
                <w:sz w:val="20"/>
                <w:szCs w:val="20"/>
              </w:rPr>
              <w:t>Milestone</w:t>
            </w:r>
          </w:p>
        </w:tc>
        <w:tc>
          <w:tcPr>
            <w:tcW w:w="661" w:type="pct"/>
            <w:shd w:val="clear" w:color="auto" w:fill="FFFFFF" w:themeFill="background1" w:themeFillTint="33"/>
            <w:tcMar>
              <w:top w:w="100" w:type="dxa"/>
              <w:left w:w="100" w:type="dxa"/>
              <w:bottom w:w="100" w:type="dxa"/>
              <w:right w:w="100" w:type="dxa"/>
            </w:tcMar>
          </w:tcPr>
          <w:p w14:paraId="2341FDA1" w14:textId="77777777" w:rsidR="002C0A23" w:rsidRPr="00D93BF7" w:rsidRDefault="002C0A23" w:rsidP="008646FE">
            <w:pPr>
              <w:rPr>
                <w:b/>
                <w:sz w:val="20"/>
                <w:szCs w:val="20"/>
              </w:rPr>
            </w:pPr>
            <w:r w:rsidRPr="00D93BF7">
              <w:rPr>
                <w:b/>
                <w:sz w:val="20"/>
                <w:szCs w:val="20"/>
              </w:rPr>
              <w:t>2018 milestones status (complete, extended, cancelled or changed)</w:t>
            </w:r>
          </w:p>
        </w:tc>
        <w:tc>
          <w:tcPr>
            <w:tcW w:w="1081" w:type="pct"/>
            <w:shd w:val="clear" w:color="auto" w:fill="FFFFFF" w:themeFill="background1" w:themeFillTint="33"/>
          </w:tcPr>
          <w:p w14:paraId="35ABC9DA" w14:textId="77777777" w:rsidR="002C0A23" w:rsidRPr="00D93BF7" w:rsidRDefault="002C0A23" w:rsidP="008646FE">
            <w:pPr>
              <w:rPr>
                <w:b/>
                <w:sz w:val="20"/>
                <w:szCs w:val="20"/>
              </w:rPr>
            </w:pPr>
            <w:r w:rsidRPr="00D93BF7">
              <w:rPr>
                <w:b/>
                <w:sz w:val="20"/>
                <w:szCs w:val="20"/>
              </w:rPr>
              <w:t>Main reason for changes in status (if not complete)</w:t>
            </w:r>
          </w:p>
        </w:tc>
        <w:tc>
          <w:tcPr>
            <w:tcW w:w="1081" w:type="pct"/>
            <w:shd w:val="clear" w:color="auto" w:fill="FFFFFF" w:themeFill="background1" w:themeFillTint="33"/>
            <w:tcMar>
              <w:top w:w="100" w:type="dxa"/>
              <w:left w:w="100" w:type="dxa"/>
              <w:bottom w:w="100" w:type="dxa"/>
              <w:right w:w="100" w:type="dxa"/>
            </w:tcMar>
          </w:tcPr>
          <w:p w14:paraId="1A6B8B29" w14:textId="77777777" w:rsidR="002C0A23" w:rsidRPr="00D93BF7" w:rsidRDefault="002C0A23" w:rsidP="008646FE">
            <w:pPr>
              <w:rPr>
                <w:b/>
                <w:sz w:val="20"/>
                <w:szCs w:val="20"/>
              </w:rPr>
            </w:pPr>
            <w:r w:rsidRPr="00D93BF7">
              <w:rPr>
                <w:b/>
                <w:sz w:val="20"/>
                <w:szCs w:val="20"/>
              </w:rPr>
              <w:t>Provide evidence for completed milestones (</w:t>
            </w:r>
            <w:proofErr w:type="gramStart"/>
            <w:r w:rsidRPr="00D93BF7">
              <w:rPr>
                <w:b/>
                <w:sz w:val="20"/>
                <w:szCs w:val="20"/>
              </w:rPr>
              <w:t>refer back</w:t>
            </w:r>
            <w:proofErr w:type="gramEnd"/>
            <w:r w:rsidRPr="00D93BF7">
              <w:rPr>
                <w:b/>
                <w:sz w:val="20"/>
                <w:szCs w:val="20"/>
              </w:rPr>
              <w:t xml:space="preserve"> to means of verification, and link to evidence wherever possible) or explanation for extended, cancelled or changed. </w:t>
            </w:r>
          </w:p>
        </w:tc>
      </w:tr>
      <w:tr w:rsidR="002E1A88" w:rsidRPr="00D93BF7" w14:paraId="5F1449F4" w14:textId="77777777" w:rsidTr="00CB5095">
        <w:trPr>
          <w:trHeight w:val="1080"/>
        </w:trPr>
        <w:tc>
          <w:tcPr>
            <w:tcW w:w="397" w:type="pct"/>
            <w:shd w:val="clear" w:color="auto" w:fill="auto"/>
            <w:tcMar>
              <w:top w:w="100" w:type="dxa"/>
              <w:left w:w="100" w:type="dxa"/>
              <w:bottom w:w="100" w:type="dxa"/>
              <w:right w:w="100" w:type="dxa"/>
            </w:tcMar>
          </w:tcPr>
          <w:p w14:paraId="1903C74E" w14:textId="519201DF" w:rsidR="002E1A88" w:rsidRPr="00D93BF7" w:rsidRDefault="002E1A88" w:rsidP="002E1A88">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4101A8D1" w14:textId="4C4AA8D6" w:rsidR="002E1A88" w:rsidRPr="00D93BF7" w:rsidRDefault="002E1A88" w:rsidP="002E1A88">
            <w:pPr>
              <w:ind w:right="100"/>
              <w:jc w:val="center"/>
              <w:rPr>
                <w:sz w:val="20"/>
                <w:szCs w:val="20"/>
              </w:rPr>
            </w:pPr>
            <w:r>
              <w:rPr>
                <w:rFonts w:ascii="Calibri" w:hAnsi="Calibri" w:cs="Calibri"/>
                <w:color w:val="000000"/>
                <w:sz w:val="18"/>
                <w:szCs w:val="18"/>
              </w:rPr>
              <w:t>Outcome 1. Improved targeting and responsiveness of research to market and household demands in the face of climate change for greater technology adoption, food and nutrition security, resilience, and poverty reduction</w:t>
            </w:r>
          </w:p>
        </w:tc>
        <w:tc>
          <w:tcPr>
            <w:tcW w:w="743" w:type="pct"/>
            <w:shd w:val="clear" w:color="auto" w:fill="auto"/>
            <w:tcMar>
              <w:top w:w="100" w:type="dxa"/>
              <w:left w:w="100" w:type="dxa"/>
              <w:bottom w:w="100" w:type="dxa"/>
              <w:right w:w="100" w:type="dxa"/>
            </w:tcMar>
          </w:tcPr>
          <w:p w14:paraId="77B63D94" w14:textId="2C2F6FC5" w:rsidR="002E1A88" w:rsidRPr="00D93BF7" w:rsidRDefault="00115B4D" w:rsidP="002E1A88">
            <w:pPr>
              <w:ind w:right="100"/>
              <w:jc w:val="center"/>
              <w:rPr>
                <w:sz w:val="20"/>
                <w:szCs w:val="20"/>
                <w:highlight w:val="white"/>
              </w:rPr>
            </w:pPr>
            <w:r>
              <w:rPr>
                <w:sz w:val="20"/>
                <w:szCs w:val="20"/>
                <w:highlight w:val="white"/>
              </w:rPr>
              <w:t xml:space="preserve">With the priority GLDC crops and countries identified based </w:t>
            </w:r>
            <w:r w:rsidR="007C0503">
              <w:rPr>
                <w:sz w:val="20"/>
                <w:szCs w:val="20"/>
                <w:highlight w:val="white"/>
              </w:rPr>
              <w:t xml:space="preserve">largely </w:t>
            </w:r>
            <w:r>
              <w:rPr>
                <w:sz w:val="20"/>
                <w:szCs w:val="20"/>
                <w:highlight w:val="white"/>
              </w:rPr>
              <w:t xml:space="preserve">on the </w:t>
            </w:r>
            <w:r w:rsidR="007C0503">
              <w:rPr>
                <w:sz w:val="20"/>
                <w:szCs w:val="20"/>
                <w:highlight w:val="white"/>
              </w:rPr>
              <w:t xml:space="preserve">initial </w:t>
            </w:r>
            <w:r>
              <w:rPr>
                <w:sz w:val="20"/>
                <w:szCs w:val="20"/>
                <w:highlight w:val="white"/>
              </w:rPr>
              <w:t>foresight and ex-ante impact evaluation work</w:t>
            </w:r>
            <w:r w:rsidR="007C0503">
              <w:rPr>
                <w:sz w:val="20"/>
                <w:szCs w:val="20"/>
                <w:highlight w:val="white"/>
              </w:rPr>
              <w:t xml:space="preserve">, </w:t>
            </w:r>
            <w:r>
              <w:rPr>
                <w:sz w:val="20"/>
                <w:szCs w:val="20"/>
                <w:highlight w:val="white"/>
              </w:rPr>
              <w:t>a sound foundation</w:t>
            </w:r>
            <w:r w:rsidR="007C0503">
              <w:rPr>
                <w:sz w:val="20"/>
                <w:szCs w:val="20"/>
                <w:highlight w:val="white"/>
              </w:rPr>
              <w:t xml:space="preserve"> has been laid to enhance the</w:t>
            </w:r>
            <w:r>
              <w:rPr>
                <w:sz w:val="20"/>
                <w:szCs w:val="20"/>
                <w:highlight w:val="white"/>
              </w:rPr>
              <w:t xml:space="preserve"> targeting</w:t>
            </w:r>
            <w:r w:rsidR="007C0503">
              <w:rPr>
                <w:sz w:val="20"/>
                <w:szCs w:val="20"/>
                <w:highlight w:val="white"/>
              </w:rPr>
              <w:t>,</w:t>
            </w:r>
            <w:r>
              <w:rPr>
                <w:sz w:val="20"/>
                <w:szCs w:val="20"/>
                <w:highlight w:val="white"/>
              </w:rPr>
              <w:t xml:space="preserve"> responsiveness</w:t>
            </w:r>
            <w:r w:rsidR="007C0503">
              <w:rPr>
                <w:sz w:val="20"/>
                <w:szCs w:val="20"/>
                <w:highlight w:val="white"/>
              </w:rPr>
              <w:t>, and impacts</w:t>
            </w:r>
            <w:r>
              <w:rPr>
                <w:sz w:val="20"/>
                <w:szCs w:val="20"/>
                <w:highlight w:val="white"/>
              </w:rPr>
              <w:t xml:space="preserve"> of GLDC research</w:t>
            </w:r>
          </w:p>
        </w:tc>
        <w:tc>
          <w:tcPr>
            <w:tcW w:w="529" w:type="pct"/>
            <w:shd w:val="clear" w:color="auto" w:fill="auto"/>
            <w:tcMar>
              <w:top w:w="100" w:type="dxa"/>
              <w:left w:w="100" w:type="dxa"/>
              <w:bottom w:w="100" w:type="dxa"/>
              <w:right w:w="100" w:type="dxa"/>
            </w:tcMar>
          </w:tcPr>
          <w:p w14:paraId="256546EF" w14:textId="364A0500" w:rsidR="002E1A88" w:rsidRPr="00D93BF7" w:rsidRDefault="002E1A88" w:rsidP="002E1A88">
            <w:pPr>
              <w:ind w:right="100"/>
              <w:jc w:val="center"/>
              <w:rPr>
                <w:sz w:val="20"/>
                <w:szCs w:val="20"/>
              </w:rPr>
            </w:pPr>
            <w:r>
              <w:rPr>
                <w:rFonts w:ascii="Calibri" w:hAnsi="Calibri" w:cs="Calibri"/>
                <w:color w:val="000000"/>
                <w:sz w:val="18"/>
                <w:szCs w:val="18"/>
              </w:rPr>
              <w:t xml:space="preserve">Expanded foresight and ex-ante evaluation of GLDC research and technology options conducted and preliminary results shared on the </w:t>
            </w:r>
            <w:proofErr w:type="gramStart"/>
            <w:r>
              <w:rPr>
                <w:rFonts w:ascii="Calibri" w:hAnsi="Calibri" w:cs="Calibri"/>
                <w:color w:val="000000"/>
                <w:sz w:val="18"/>
                <w:szCs w:val="18"/>
              </w:rPr>
              <w:t>potential  poverty</w:t>
            </w:r>
            <w:proofErr w:type="gramEnd"/>
            <w:r>
              <w:rPr>
                <w:rFonts w:ascii="Calibri" w:hAnsi="Calibri" w:cs="Calibri"/>
                <w:color w:val="000000"/>
                <w:sz w:val="18"/>
                <w:szCs w:val="18"/>
              </w:rPr>
              <w:t xml:space="preserve"> reduction impacts</w:t>
            </w:r>
          </w:p>
        </w:tc>
        <w:tc>
          <w:tcPr>
            <w:tcW w:w="661" w:type="pct"/>
            <w:shd w:val="clear" w:color="auto" w:fill="auto"/>
            <w:tcMar>
              <w:top w:w="100" w:type="dxa"/>
              <w:left w:w="100" w:type="dxa"/>
              <w:bottom w:w="100" w:type="dxa"/>
              <w:right w:w="100" w:type="dxa"/>
            </w:tcMar>
          </w:tcPr>
          <w:p w14:paraId="6D3D838B" w14:textId="77777777" w:rsidR="005B7E5F" w:rsidRDefault="005B7E5F" w:rsidP="002E1A88">
            <w:pPr>
              <w:jc w:val="center"/>
              <w:rPr>
                <w:sz w:val="20"/>
                <w:szCs w:val="20"/>
              </w:rPr>
            </w:pPr>
            <w:r>
              <w:rPr>
                <w:sz w:val="20"/>
                <w:szCs w:val="20"/>
              </w:rPr>
              <w:t xml:space="preserve">Complete </w:t>
            </w:r>
          </w:p>
          <w:p w14:paraId="17CF70EA" w14:textId="77777777" w:rsidR="005B7E5F" w:rsidRDefault="005B7E5F" w:rsidP="002E1A88">
            <w:pPr>
              <w:jc w:val="center"/>
              <w:rPr>
                <w:i/>
                <w:sz w:val="20"/>
                <w:szCs w:val="20"/>
              </w:rPr>
            </w:pPr>
          </w:p>
          <w:p w14:paraId="395F1584" w14:textId="582C7C12" w:rsidR="002E1A88" w:rsidRPr="005B7E5F" w:rsidRDefault="005B7E5F" w:rsidP="002E1A88">
            <w:pPr>
              <w:jc w:val="center"/>
              <w:rPr>
                <w:i/>
                <w:sz w:val="20"/>
                <w:szCs w:val="20"/>
              </w:rPr>
            </w:pPr>
            <w:r w:rsidRPr="005B7E5F">
              <w:rPr>
                <w:i/>
                <w:sz w:val="20"/>
                <w:szCs w:val="20"/>
              </w:rPr>
              <w:t>Note: th</w:t>
            </w:r>
            <w:r>
              <w:rPr>
                <w:i/>
                <w:sz w:val="20"/>
                <w:szCs w:val="20"/>
              </w:rPr>
              <w:t>e</w:t>
            </w:r>
            <w:r w:rsidRPr="005B7E5F">
              <w:rPr>
                <w:i/>
                <w:sz w:val="20"/>
                <w:szCs w:val="20"/>
              </w:rPr>
              <w:t xml:space="preserve"> work has been expanded in 2019 to include a nutrition </w:t>
            </w:r>
            <w:r w:rsidR="00725726">
              <w:rPr>
                <w:i/>
                <w:sz w:val="20"/>
                <w:szCs w:val="20"/>
              </w:rPr>
              <w:t xml:space="preserve">impact </w:t>
            </w:r>
            <w:r w:rsidRPr="005B7E5F">
              <w:rPr>
                <w:i/>
                <w:sz w:val="20"/>
                <w:szCs w:val="20"/>
              </w:rPr>
              <w:t>dimension</w:t>
            </w:r>
            <w:r>
              <w:rPr>
                <w:i/>
                <w:sz w:val="20"/>
                <w:szCs w:val="20"/>
              </w:rPr>
              <w:t xml:space="preserve"> in addition to </w:t>
            </w:r>
            <w:r w:rsidR="007A438B">
              <w:rPr>
                <w:i/>
                <w:sz w:val="20"/>
                <w:szCs w:val="20"/>
              </w:rPr>
              <w:t xml:space="preserve">the planned </w:t>
            </w:r>
            <w:r w:rsidR="00725726">
              <w:rPr>
                <w:i/>
                <w:sz w:val="20"/>
                <w:szCs w:val="20"/>
              </w:rPr>
              <w:t xml:space="preserve">ex-ante </w:t>
            </w:r>
            <w:r>
              <w:rPr>
                <w:i/>
                <w:sz w:val="20"/>
                <w:szCs w:val="20"/>
              </w:rPr>
              <w:t>economic and poverty reduction impact</w:t>
            </w:r>
            <w:r w:rsidR="007A438B">
              <w:rPr>
                <w:i/>
                <w:sz w:val="20"/>
                <w:szCs w:val="20"/>
              </w:rPr>
              <w:t xml:space="preserve"> assessment</w:t>
            </w:r>
            <w:r w:rsidRPr="005B7E5F">
              <w:rPr>
                <w:i/>
                <w:sz w:val="20"/>
                <w:szCs w:val="20"/>
              </w:rPr>
              <w:t>.</w:t>
            </w:r>
          </w:p>
        </w:tc>
        <w:tc>
          <w:tcPr>
            <w:tcW w:w="1081" w:type="pct"/>
          </w:tcPr>
          <w:p w14:paraId="0FC948DD" w14:textId="3C6BF2A0" w:rsidR="00DA2231" w:rsidRPr="00D93BF7" w:rsidRDefault="00DA2231" w:rsidP="00DA2231">
            <w:pPr>
              <w:rPr>
                <w:sz w:val="20"/>
                <w:szCs w:val="20"/>
              </w:rPr>
            </w:pPr>
          </w:p>
          <w:p w14:paraId="293CA2C0" w14:textId="57E9C0A6" w:rsidR="002E1A88" w:rsidRPr="00D93BF7" w:rsidRDefault="002E1A88" w:rsidP="002E1A88">
            <w:pPr>
              <w:jc w:val="center"/>
              <w:rPr>
                <w:sz w:val="20"/>
                <w:szCs w:val="20"/>
              </w:rPr>
            </w:pPr>
          </w:p>
        </w:tc>
        <w:tc>
          <w:tcPr>
            <w:tcW w:w="1081" w:type="pct"/>
            <w:shd w:val="clear" w:color="auto" w:fill="auto"/>
            <w:tcMar>
              <w:top w:w="100" w:type="dxa"/>
              <w:left w:w="100" w:type="dxa"/>
              <w:bottom w:w="100" w:type="dxa"/>
              <w:right w:w="100" w:type="dxa"/>
            </w:tcMar>
          </w:tcPr>
          <w:p w14:paraId="26C1422C" w14:textId="3EECA192" w:rsidR="002E1A88" w:rsidRPr="00D93BF7" w:rsidRDefault="001C1D91" w:rsidP="002E1A88">
            <w:pPr>
              <w:jc w:val="center"/>
              <w:rPr>
                <w:sz w:val="20"/>
                <w:szCs w:val="20"/>
              </w:rPr>
            </w:pPr>
            <w:r>
              <w:rPr>
                <w:sz w:val="20"/>
                <w:szCs w:val="20"/>
              </w:rPr>
              <w:t>Results of the e</w:t>
            </w:r>
            <w:r w:rsidR="00CD1CAD" w:rsidRPr="00CD1CAD">
              <w:rPr>
                <w:sz w:val="20"/>
                <w:szCs w:val="20"/>
              </w:rPr>
              <w:t xml:space="preserve">x-ante </w:t>
            </w:r>
            <w:r w:rsidR="00CD1CAD">
              <w:rPr>
                <w:sz w:val="20"/>
                <w:szCs w:val="20"/>
              </w:rPr>
              <w:t xml:space="preserve">economic and poverty </w:t>
            </w:r>
            <w:r w:rsidR="00CD1CAD" w:rsidRPr="00CD1CAD">
              <w:rPr>
                <w:sz w:val="20"/>
                <w:szCs w:val="20"/>
              </w:rPr>
              <w:t xml:space="preserve">impact </w:t>
            </w:r>
            <w:r>
              <w:rPr>
                <w:sz w:val="20"/>
                <w:szCs w:val="20"/>
              </w:rPr>
              <w:t xml:space="preserve">evaluation of GLDC research and technology options </w:t>
            </w:r>
            <w:r w:rsidR="00CD1CAD">
              <w:rPr>
                <w:sz w:val="20"/>
                <w:szCs w:val="20"/>
              </w:rPr>
              <w:t>were</w:t>
            </w:r>
            <w:r w:rsidR="00CD1CAD" w:rsidRPr="00CD1CAD">
              <w:rPr>
                <w:sz w:val="20"/>
                <w:szCs w:val="20"/>
              </w:rPr>
              <w:t xml:space="preserve"> shared with GLDC researchers and stakeholders at the annual review and planning meeting </w:t>
            </w:r>
            <w:r w:rsidR="00CD1CAD">
              <w:rPr>
                <w:sz w:val="20"/>
                <w:szCs w:val="20"/>
              </w:rPr>
              <w:t xml:space="preserve">in 2018. A draft report is also available </w:t>
            </w:r>
            <w:r w:rsidR="00CD1CAD" w:rsidRPr="002B7866">
              <w:rPr>
                <w:sz w:val="20"/>
                <w:szCs w:val="20"/>
                <w:highlight w:val="yellow"/>
              </w:rPr>
              <w:t>(</w:t>
            </w:r>
            <w:r w:rsidR="00036BBC">
              <w:rPr>
                <w:sz w:val="20"/>
                <w:szCs w:val="20"/>
                <w:highlight w:val="yellow"/>
              </w:rPr>
              <w:t>C</w:t>
            </w:r>
            <w:r w:rsidR="00CD1CAD" w:rsidRPr="002B7866">
              <w:rPr>
                <w:sz w:val="20"/>
                <w:szCs w:val="20"/>
                <w:highlight w:val="yellow"/>
              </w:rPr>
              <w:t>reate link to the uploaded report)</w:t>
            </w:r>
          </w:p>
        </w:tc>
      </w:tr>
      <w:tr w:rsidR="002E1A88" w:rsidRPr="00D93BF7" w14:paraId="5B6A461E" w14:textId="77777777" w:rsidTr="00CB5095">
        <w:trPr>
          <w:trHeight w:val="1080"/>
        </w:trPr>
        <w:tc>
          <w:tcPr>
            <w:tcW w:w="397" w:type="pct"/>
            <w:shd w:val="clear" w:color="auto" w:fill="auto"/>
            <w:tcMar>
              <w:top w:w="100" w:type="dxa"/>
              <w:left w:w="100" w:type="dxa"/>
              <w:bottom w:w="100" w:type="dxa"/>
              <w:right w:w="100" w:type="dxa"/>
            </w:tcMar>
          </w:tcPr>
          <w:p w14:paraId="6BD68F77" w14:textId="33AB6011" w:rsidR="002E1A88" w:rsidRDefault="002E1A88" w:rsidP="002E1A88">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214AA6F1" w14:textId="673C01BE" w:rsidR="002E1A88" w:rsidRPr="00D93BF7" w:rsidRDefault="002E1A88" w:rsidP="002E1A88">
            <w:pPr>
              <w:ind w:right="100"/>
              <w:jc w:val="center"/>
              <w:rPr>
                <w:sz w:val="20"/>
                <w:szCs w:val="20"/>
              </w:rPr>
            </w:pPr>
            <w:r>
              <w:rPr>
                <w:rFonts w:ascii="Calibri" w:hAnsi="Calibri" w:cs="Calibri"/>
                <w:color w:val="000000"/>
                <w:sz w:val="18"/>
                <w:szCs w:val="18"/>
              </w:rPr>
              <w:t xml:space="preserve">Outcome 2. Market and household demand </w:t>
            </w:r>
            <w:proofErr w:type="gramStart"/>
            <w:r>
              <w:rPr>
                <w:rFonts w:ascii="Calibri" w:hAnsi="Calibri" w:cs="Calibri"/>
                <w:color w:val="000000"/>
                <w:sz w:val="18"/>
                <w:szCs w:val="18"/>
              </w:rPr>
              <w:t>identified</w:t>
            </w:r>
            <w:proofErr w:type="gramEnd"/>
            <w:r>
              <w:rPr>
                <w:rFonts w:ascii="Calibri" w:hAnsi="Calibri" w:cs="Calibri"/>
                <w:color w:val="000000"/>
                <w:sz w:val="18"/>
                <w:szCs w:val="18"/>
              </w:rPr>
              <w:t xml:space="preserve"> and trade-offs assessed for more inclusive </w:t>
            </w:r>
            <w:r>
              <w:rPr>
                <w:rFonts w:ascii="Calibri" w:hAnsi="Calibri" w:cs="Calibri"/>
                <w:color w:val="000000"/>
                <w:sz w:val="18"/>
                <w:szCs w:val="18"/>
              </w:rPr>
              <w:lastRenderedPageBreak/>
              <w:t>value chains that improve income and nutrition status in target regions</w:t>
            </w:r>
          </w:p>
        </w:tc>
        <w:tc>
          <w:tcPr>
            <w:tcW w:w="743" w:type="pct"/>
            <w:shd w:val="clear" w:color="auto" w:fill="auto"/>
            <w:tcMar>
              <w:top w:w="100" w:type="dxa"/>
              <w:left w:w="100" w:type="dxa"/>
              <w:bottom w:w="100" w:type="dxa"/>
              <w:right w:w="100" w:type="dxa"/>
            </w:tcMar>
          </w:tcPr>
          <w:p w14:paraId="47F335CE" w14:textId="0153A4FE" w:rsidR="002E1A88" w:rsidRPr="00D93BF7" w:rsidRDefault="00496862" w:rsidP="002E1A88">
            <w:pPr>
              <w:ind w:right="100"/>
              <w:jc w:val="center"/>
              <w:rPr>
                <w:sz w:val="20"/>
                <w:szCs w:val="20"/>
                <w:highlight w:val="white"/>
              </w:rPr>
            </w:pPr>
            <w:r>
              <w:rPr>
                <w:sz w:val="20"/>
                <w:szCs w:val="20"/>
                <w:highlight w:val="white"/>
              </w:rPr>
              <w:lastRenderedPageBreak/>
              <w:t xml:space="preserve">Building on numerous past market and value chain studies documenting the market and household demands and preferences, the </w:t>
            </w:r>
            <w:r>
              <w:rPr>
                <w:sz w:val="20"/>
                <w:szCs w:val="20"/>
                <w:highlight w:val="white"/>
              </w:rPr>
              <w:lastRenderedPageBreak/>
              <w:t>ongoing work introduces new dimensions such as household aspirations to better identify end-user demands and profiles.</w:t>
            </w:r>
          </w:p>
        </w:tc>
        <w:tc>
          <w:tcPr>
            <w:tcW w:w="529" w:type="pct"/>
            <w:shd w:val="clear" w:color="auto" w:fill="auto"/>
            <w:tcMar>
              <w:top w:w="100" w:type="dxa"/>
              <w:left w:w="100" w:type="dxa"/>
              <w:bottom w:w="100" w:type="dxa"/>
              <w:right w:w="100" w:type="dxa"/>
            </w:tcMar>
          </w:tcPr>
          <w:p w14:paraId="5863F9E6" w14:textId="50AEA1B2" w:rsidR="002E1A88" w:rsidRPr="00D93BF7" w:rsidRDefault="002E1A88" w:rsidP="002E1A88">
            <w:pPr>
              <w:ind w:right="100"/>
              <w:jc w:val="center"/>
              <w:rPr>
                <w:sz w:val="20"/>
                <w:szCs w:val="20"/>
              </w:rPr>
            </w:pPr>
            <w:r>
              <w:rPr>
                <w:rFonts w:ascii="Calibri" w:hAnsi="Calibri" w:cs="Calibri"/>
                <w:color w:val="000000"/>
                <w:sz w:val="18"/>
                <w:szCs w:val="18"/>
              </w:rPr>
              <w:lastRenderedPageBreak/>
              <w:t xml:space="preserve">Diversity of farm household preferences vis-a-vis market demand by context outlined in view </w:t>
            </w:r>
            <w:r>
              <w:rPr>
                <w:rFonts w:ascii="Calibri" w:hAnsi="Calibri" w:cs="Calibri"/>
                <w:color w:val="000000"/>
                <w:sz w:val="18"/>
                <w:szCs w:val="18"/>
              </w:rPr>
              <w:lastRenderedPageBreak/>
              <w:t>of research in GLDC</w:t>
            </w:r>
          </w:p>
        </w:tc>
        <w:tc>
          <w:tcPr>
            <w:tcW w:w="661" w:type="pct"/>
            <w:shd w:val="clear" w:color="auto" w:fill="auto"/>
            <w:tcMar>
              <w:top w:w="100" w:type="dxa"/>
              <w:left w:w="100" w:type="dxa"/>
              <w:bottom w:w="100" w:type="dxa"/>
              <w:right w:w="100" w:type="dxa"/>
            </w:tcMar>
          </w:tcPr>
          <w:p w14:paraId="0E76D323" w14:textId="2B2D065D" w:rsidR="002E1A88" w:rsidRPr="00D93BF7" w:rsidRDefault="00266B40" w:rsidP="002E1A88">
            <w:pPr>
              <w:jc w:val="center"/>
              <w:rPr>
                <w:sz w:val="20"/>
                <w:szCs w:val="20"/>
              </w:rPr>
            </w:pPr>
            <w:r>
              <w:rPr>
                <w:sz w:val="20"/>
                <w:szCs w:val="20"/>
              </w:rPr>
              <w:lastRenderedPageBreak/>
              <w:t>Extended</w:t>
            </w:r>
          </w:p>
        </w:tc>
        <w:tc>
          <w:tcPr>
            <w:tcW w:w="1081" w:type="pct"/>
          </w:tcPr>
          <w:p w14:paraId="569EEA21" w14:textId="472E102F" w:rsidR="00CB5095" w:rsidRPr="00D93BF7" w:rsidRDefault="00CB5095" w:rsidP="00CB5095">
            <w:pPr>
              <w:rPr>
                <w:sz w:val="20"/>
                <w:szCs w:val="20"/>
              </w:rPr>
            </w:pPr>
            <w:r>
              <w:rPr>
                <w:sz w:val="20"/>
                <w:szCs w:val="20"/>
              </w:rPr>
              <w:t>Ongoing work</w:t>
            </w:r>
          </w:p>
          <w:p w14:paraId="7F8E8C60" w14:textId="21F026C5" w:rsidR="002E1A88" w:rsidRPr="00D93BF7" w:rsidRDefault="002E1A88" w:rsidP="002E1A88">
            <w:pPr>
              <w:jc w:val="center"/>
              <w:rPr>
                <w:sz w:val="20"/>
                <w:szCs w:val="20"/>
              </w:rPr>
            </w:pPr>
          </w:p>
        </w:tc>
        <w:tc>
          <w:tcPr>
            <w:tcW w:w="1081" w:type="pct"/>
            <w:shd w:val="clear" w:color="auto" w:fill="auto"/>
            <w:tcMar>
              <w:top w:w="100" w:type="dxa"/>
              <w:left w:w="100" w:type="dxa"/>
              <w:bottom w:w="100" w:type="dxa"/>
              <w:right w:w="100" w:type="dxa"/>
            </w:tcMar>
          </w:tcPr>
          <w:p w14:paraId="1AAC3497" w14:textId="678914BE" w:rsidR="002E1A88" w:rsidRPr="00D93BF7" w:rsidRDefault="00DE530C" w:rsidP="00DA2231">
            <w:pPr>
              <w:rPr>
                <w:sz w:val="20"/>
                <w:szCs w:val="20"/>
              </w:rPr>
            </w:pPr>
            <w:r>
              <w:rPr>
                <w:sz w:val="20"/>
                <w:szCs w:val="20"/>
              </w:rPr>
              <w:t>As 2018 was the first year of GLDC, the work started in March</w:t>
            </w:r>
            <w:r w:rsidR="00DE1F12">
              <w:rPr>
                <w:sz w:val="20"/>
                <w:szCs w:val="20"/>
              </w:rPr>
              <w:t>/April</w:t>
            </w:r>
            <w:r>
              <w:rPr>
                <w:sz w:val="20"/>
                <w:szCs w:val="20"/>
              </w:rPr>
              <w:t xml:space="preserve"> and the milestone was planned to be completed only in 2019 </w:t>
            </w:r>
          </w:p>
        </w:tc>
      </w:tr>
      <w:tr w:rsidR="00DE1F12" w:rsidRPr="00D93BF7" w14:paraId="7EC565F0" w14:textId="77777777" w:rsidTr="00CB5095">
        <w:trPr>
          <w:trHeight w:val="1080"/>
        </w:trPr>
        <w:tc>
          <w:tcPr>
            <w:tcW w:w="397" w:type="pct"/>
            <w:shd w:val="clear" w:color="auto" w:fill="auto"/>
            <w:tcMar>
              <w:top w:w="100" w:type="dxa"/>
              <w:left w:w="100" w:type="dxa"/>
              <w:bottom w:w="100" w:type="dxa"/>
              <w:right w:w="100" w:type="dxa"/>
            </w:tcMar>
          </w:tcPr>
          <w:p w14:paraId="4B3EE876" w14:textId="50913E12" w:rsidR="00DE1F12" w:rsidRDefault="00DE1F12" w:rsidP="00DE1F12">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4768E610" w14:textId="041BB45D" w:rsidR="00DE1F12" w:rsidRPr="00D93BF7" w:rsidRDefault="00DE1F12" w:rsidP="00DE1F12">
            <w:pPr>
              <w:ind w:right="100"/>
              <w:jc w:val="center"/>
              <w:rPr>
                <w:sz w:val="20"/>
                <w:szCs w:val="20"/>
              </w:rPr>
            </w:pPr>
            <w:r>
              <w:rPr>
                <w:rFonts w:ascii="Calibri" w:hAnsi="Calibri" w:cs="Calibri"/>
                <w:color w:val="000000"/>
                <w:sz w:val="18"/>
                <w:szCs w:val="18"/>
              </w:rPr>
              <w:t xml:space="preserve">Outcome 3. Inclusive and equitable technologies and innovation systems established for accelerated and broadened impact across the </w:t>
            </w:r>
            <w:proofErr w:type="spellStart"/>
            <w:r>
              <w:rPr>
                <w:rFonts w:ascii="Calibri" w:hAnsi="Calibri" w:cs="Calibri"/>
                <w:color w:val="000000"/>
                <w:sz w:val="18"/>
                <w:szCs w:val="18"/>
              </w:rPr>
              <w:t>agrifood</w:t>
            </w:r>
            <w:proofErr w:type="spellEnd"/>
            <w:r>
              <w:rPr>
                <w:rFonts w:ascii="Calibri" w:hAnsi="Calibri" w:cs="Calibri"/>
                <w:color w:val="000000"/>
                <w:sz w:val="18"/>
                <w:szCs w:val="18"/>
              </w:rPr>
              <w:t xml:space="preserve"> system</w:t>
            </w:r>
          </w:p>
        </w:tc>
        <w:tc>
          <w:tcPr>
            <w:tcW w:w="743" w:type="pct"/>
            <w:shd w:val="clear" w:color="auto" w:fill="auto"/>
            <w:tcMar>
              <w:top w:w="100" w:type="dxa"/>
              <w:left w:w="100" w:type="dxa"/>
              <w:bottom w:w="100" w:type="dxa"/>
              <w:right w:w="100" w:type="dxa"/>
            </w:tcMar>
          </w:tcPr>
          <w:p w14:paraId="1E4EBC92" w14:textId="582B8B10" w:rsidR="00DE1F12" w:rsidRPr="00D93BF7" w:rsidRDefault="00DE1F12" w:rsidP="00DE1F12">
            <w:pPr>
              <w:ind w:right="100"/>
              <w:jc w:val="center"/>
              <w:rPr>
                <w:sz w:val="20"/>
                <w:szCs w:val="20"/>
                <w:highlight w:val="white"/>
              </w:rPr>
            </w:pPr>
            <w:r>
              <w:rPr>
                <w:sz w:val="20"/>
                <w:szCs w:val="20"/>
                <w:highlight w:val="white"/>
              </w:rPr>
              <w:t xml:space="preserve">By enhancing our </w:t>
            </w:r>
            <w:r w:rsidRPr="001A475A">
              <w:rPr>
                <w:sz w:val="20"/>
                <w:szCs w:val="20"/>
                <w:highlight w:val="white"/>
              </w:rPr>
              <w:t>understand</w:t>
            </w:r>
            <w:r>
              <w:rPr>
                <w:sz w:val="20"/>
                <w:szCs w:val="20"/>
                <w:highlight w:val="white"/>
              </w:rPr>
              <w:t>ing of</w:t>
            </w:r>
            <w:r w:rsidRPr="001A475A">
              <w:rPr>
                <w:sz w:val="20"/>
                <w:szCs w:val="20"/>
                <w:highlight w:val="white"/>
              </w:rPr>
              <w:t xml:space="preserve"> the participation of women and youth in GLDC value chains as well as in technology and support service delivery</w:t>
            </w:r>
            <w:r>
              <w:rPr>
                <w:sz w:val="20"/>
                <w:szCs w:val="20"/>
                <w:highlight w:val="white"/>
              </w:rPr>
              <w:t>, the ongoing strategic gender research is generating insights that lead to i</w:t>
            </w:r>
            <w:r w:rsidRPr="001A475A">
              <w:rPr>
                <w:sz w:val="20"/>
                <w:szCs w:val="20"/>
                <w:highlight w:val="white"/>
              </w:rPr>
              <w:t>nclusive and equitable technologies and innovation systems</w:t>
            </w:r>
            <w:r>
              <w:rPr>
                <w:sz w:val="20"/>
                <w:szCs w:val="20"/>
                <w:highlight w:val="white"/>
              </w:rPr>
              <w:t xml:space="preserve">  </w:t>
            </w:r>
          </w:p>
        </w:tc>
        <w:tc>
          <w:tcPr>
            <w:tcW w:w="529" w:type="pct"/>
            <w:shd w:val="clear" w:color="auto" w:fill="auto"/>
            <w:tcMar>
              <w:top w:w="100" w:type="dxa"/>
              <w:left w:w="100" w:type="dxa"/>
              <w:bottom w:w="100" w:type="dxa"/>
              <w:right w:w="100" w:type="dxa"/>
            </w:tcMar>
          </w:tcPr>
          <w:p w14:paraId="4DA4EED3" w14:textId="567E1B8E" w:rsidR="00DE1F12" w:rsidRPr="00D93BF7" w:rsidRDefault="00DE1F12" w:rsidP="00DE1F12">
            <w:pPr>
              <w:ind w:right="100"/>
              <w:jc w:val="center"/>
              <w:rPr>
                <w:sz w:val="20"/>
                <w:szCs w:val="20"/>
              </w:rPr>
            </w:pPr>
            <w:r>
              <w:rPr>
                <w:rFonts w:ascii="Calibri" w:hAnsi="Calibri" w:cs="Calibri"/>
                <w:color w:val="000000"/>
                <w:sz w:val="18"/>
                <w:szCs w:val="18"/>
              </w:rPr>
              <w:t>Inclusive and equitable innovation system for accelerating impacts for women and young people designed and piloted underlying design principles proven</w:t>
            </w:r>
          </w:p>
        </w:tc>
        <w:tc>
          <w:tcPr>
            <w:tcW w:w="661" w:type="pct"/>
            <w:shd w:val="clear" w:color="auto" w:fill="auto"/>
            <w:tcMar>
              <w:top w:w="100" w:type="dxa"/>
              <w:left w:w="100" w:type="dxa"/>
              <w:bottom w:w="100" w:type="dxa"/>
              <w:right w:w="100" w:type="dxa"/>
            </w:tcMar>
          </w:tcPr>
          <w:p w14:paraId="4B6B00EC" w14:textId="3E7B3FFE" w:rsidR="00DE1F12" w:rsidRPr="00D93BF7" w:rsidRDefault="00DE1F12" w:rsidP="00DE1F12">
            <w:pPr>
              <w:jc w:val="center"/>
              <w:rPr>
                <w:sz w:val="20"/>
                <w:szCs w:val="20"/>
              </w:rPr>
            </w:pPr>
            <w:r>
              <w:rPr>
                <w:sz w:val="20"/>
                <w:szCs w:val="20"/>
              </w:rPr>
              <w:t>Extended</w:t>
            </w:r>
          </w:p>
        </w:tc>
        <w:tc>
          <w:tcPr>
            <w:tcW w:w="1081" w:type="pct"/>
          </w:tcPr>
          <w:p w14:paraId="630F49A1" w14:textId="44911CD9" w:rsidR="00DE1F12" w:rsidRPr="00D93BF7" w:rsidRDefault="00DE1F12" w:rsidP="00DE1F12">
            <w:pPr>
              <w:rPr>
                <w:sz w:val="20"/>
                <w:szCs w:val="20"/>
              </w:rPr>
            </w:pPr>
            <w:r w:rsidRPr="00997612">
              <w:rPr>
                <w:sz w:val="20"/>
                <w:szCs w:val="20"/>
              </w:rPr>
              <w:t>Ongoing work</w:t>
            </w:r>
          </w:p>
        </w:tc>
        <w:tc>
          <w:tcPr>
            <w:tcW w:w="1081" w:type="pct"/>
            <w:shd w:val="clear" w:color="auto" w:fill="auto"/>
            <w:tcMar>
              <w:top w:w="100" w:type="dxa"/>
              <w:left w:w="100" w:type="dxa"/>
              <w:bottom w:w="100" w:type="dxa"/>
              <w:right w:w="100" w:type="dxa"/>
            </w:tcMar>
          </w:tcPr>
          <w:p w14:paraId="5C8894E8" w14:textId="2295FBC5" w:rsidR="00DE1F12" w:rsidRPr="00D93BF7" w:rsidRDefault="00DE1F12" w:rsidP="00DA2231">
            <w:pPr>
              <w:rPr>
                <w:sz w:val="20"/>
                <w:szCs w:val="20"/>
              </w:rPr>
            </w:pPr>
            <w:r w:rsidRPr="00AF2492">
              <w:rPr>
                <w:sz w:val="20"/>
                <w:szCs w:val="20"/>
              </w:rPr>
              <w:t xml:space="preserve">As 2018 was the first year of GLDC, the work started in March/April and the milestone was planned to be completed only in 2019 </w:t>
            </w:r>
          </w:p>
        </w:tc>
      </w:tr>
      <w:tr w:rsidR="00DE1F12" w:rsidRPr="00D93BF7" w14:paraId="4071345A" w14:textId="77777777" w:rsidTr="00CB5095">
        <w:trPr>
          <w:trHeight w:val="1080"/>
        </w:trPr>
        <w:tc>
          <w:tcPr>
            <w:tcW w:w="397" w:type="pct"/>
            <w:shd w:val="clear" w:color="auto" w:fill="auto"/>
            <w:tcMar>
              <w:top w:w="100" w:type="dxa"/>
              <w:left w:w="100" w:type="dxa"/>
              <w:bottom w:w="100" w:type="dxa"/>
              <w:right w:w="100" w:type="dxa"/>
            </w:tcMar>
          </w:tcPr>
          <w:p w14:paraId="470EFA4B" w14:textId="6F0726D5" w:rsidR="00DE1F12" w:rsidRDefault="00DE1F12" w:rsidP="00DE1F12">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24A4ED6F" w14:textId="35E2FB33" w:rsidR="00DE1F12" w:rsidRPr="00D93BF7" w:rsidRDefault="00DE1F12" w:rsidP="00DE1F12">
            <w:pPr>
              <w:ind w:right="100"/>
              <w:jc w:val="center"/>
              <w:rPr>
                <w:sz w:val="20"/>
                <w:szCs w:val="20"/>
              </w:rPr>
            </w:pPr>
            <w:r>
              <w:rPr>
                <w:rFonts w:ascii="Calibri" w:hAnsi="Calibri" w:cs="Calibri"/>
                <w:color w:val="000000"/>
                <w:sz w:val="18"/>
                <w:szCs w:val="18"/>
              </w:rPr>
              <w:t xml:space="preserve">Outcome 4. Strong project design, execution, monitoring and evaluation systems and tools consistently applied in GLDC scaling projects, with demonstrable progress on </w:t>
            </w:r>
            <w:r>
              <w:rPr>
                <w:rFonts w:ascii="Calibri" w:hAnsi="Calibri" w:cs="Calibri"/>
                <w:color w:val="000000"/>
                <w:sz w:val="18"/>
                <w:szCs w:val="18"/>
              </w:rPr>
              <w:lastRenderedPageBreak/>
              <w:t>enhanced adoption and impact</w:t>
            </w:r>
          </w:p>
        </w:tc>
        <w:tc>
          <w:tcPr>
            <w:tcW w:w="743" w:type="pct"/>
            <w:shd w:val="clear" w:color="auto" w:fill="auto"/>
            <w:tcMar>
              <w:top w:w="100" w:type="dxa"/>
              <w:left w:w="100" w:type="dxa"/>
              <w:bottom w:w="100" w:type="dxa"/>
              <w:right w:w="100" w:type="dxa"/>
            </w:tcMar>
          </w:tcPr>
          <w:p w14:paraId="66357B29" w14:textId="455A05AB" w:rsidR="00DE1F12" w:rsidRPr="00D93BF7" w:rsidRDefault="00DE1F12" w:rsidP="00DE1F12">
            <w:pPr>
              <w:ind w:right="100"/>
              <w:jc w:val="center"/>
              <w:rPr>
                <w:sz w:val="20"/>
                <w:szCs w:val="20"/>
                <w:highlight w:val="white"/>
              </w:rPr>
            </w:pPr>
            <w:r>
              <w:rPr>
                <w:sz w:val="20"/>
                <w:szCs w:val="20"/>
                <w:highlight w:val="white"/>
              </w:rPr>
              <w:lastRenderedPageBreak/>
              <w:t xml:space="preserve">By identifying successful approaches to technology scaling and the underlying institutional and policy contexts, the ongoing review of scaling approaches and impact evaluations is generating useful lessons for increased </w:t>
            </w:r>
            <w:r>
              <w:rPr>
                <w:sz w:val="20"/>
                <w:szCs w:val="20"/>
                <w:highlight w:val="white"/>
              </w:rPr>
              <w:lastRenderedPageBreak/>
              <w:t xml:space="preserve">technology adoption and impact    </w:t>
            </w:r>
          </w:p>
        </w:tc>
        <w:tc>
          <w:tcPr>
            <w:tcW w:w="529" w:type="pct"/>
            <w:shd w:val="clear" w:color="auto" w:fill="auto"/>
            <w:tcMar>
              <w:top w:w="100" w:type="dxa"/>
              <w:left w:w="100" w:type="dxa"/>
              <w:bottom w:w="100" w:type="dxa"/>
              <w:right w:w="100" w:type="dxa"/>
            </w:tcMar>
          </w:tcPr>
          <w:p w14:paraId="2CC2CACF" w14:textId="3EF3F406" w:rsidR="00DE1F12" w:rsidRPr="00D93BF7" w:rsidRDefault="00DE1F12" w:rsidP="00DE1F12">
            <w:pPr>
              <w:ind w:right="100"/>
              <w:jc w:val="center"/>
              <w:rPr>
                <w:sz w:val="20"/>
                <w:szCs w:val="20"/>
              </w:rPr>
            </w:pPr>
            <w:r>
              <w:rPr>
                <w:rFonts w:ascii="Calibri" w:hAnsi="Calibri" w:cs="Calibri"/>
                <w:color w:val="000000"/>
                <w:sz w:val="18"/>
                <w:szCs w:val="18"/>
              </w:rPr>
              <w:lastRenderedPageBreak/>
              <w:t>Joint systematic review with CoA 1.2</w:t>
            </w:r>
          </w:p>
        </w:tc>
        <w:tc>
          <w:tcPr>
            <w:tcW w:w="661" w:type="pct"/>
            <w:shd w:val="clear" w:color="auto" w:fill="auto"/>
            <w:tcMar>
              <w:top w:w="100" w:type="dxa"/>
              <w:left w:w="100" w:type="dxa"/>
              <w:bottom w:w="100" w:type="dxa"/>
              <w:right w:w="100" w:type="dxa"/>
            </w:tcMar>
          </w:tcPr>
          <w:p w14:paraId="47EB24CA" w14:textId="1952D1FC" w:rsidR="00DE1F12" w:rsidRPr="00D93BF7" w:rsidRDefault="00DE1F12" w:rsidP="00DE1F12">
            <w:pPr>
              <w:jc w:val="center"/>
              <w:rPr>
                <w:sz w:val="20"/>
                <w:szCs w:val="20"/>
              </w:rPr>
            </w:pPr>
            <w:r>
              <w:rPr>
                <w:sz w:val="20"/>
                <w:szCs w:val="20"/>
              </w:rPr>
              <w:t>Extended</w:t>
            </w:r>
          </w:p>
        </w:tc>
        <w:tc>
          <w:tcPr>
            <w:tcW w:w="1081" w:type="pct"/>
          </w:tcPr>
          <w:p w14:paraId="22EF3F10" w14:textId="0E0C7B04" w:rsidR="00DE1F12" w:rsidRPr="00D93BF7" w:rsidRDefault="00DE1F12" w:rsidP="00DE1F12">
            <w:pPr>
              <w:rPr>
                <w:sz w:val="20"/>
                <w:szCs w:val="20"/>
              </w:rPr>
            </w:pPr>
            <w:r w:rsidRPr="00997612">
              <w:rPr>
                <w:sz w:val="20"/>
                <w:szCs w:val="20"/>
              </w:rPr>
              <w:t>Ongoing work</w:t>
            </w:r>
          </w:p>
        </w:tc>
        <w:tc>
          <w:tcPr>
            <w:tcW w:w="1081" w:type="pct"/>
            <w:shd w:val="clear" w:color="auto" w:fill="auto"/>
            <w:tcMar>
              <w:top w:w="100" w:type="dxa"/>
              <w:left w:w="100" w:type="dxa"/>
              <w:bottom w:w="100" w:type="dxa"/>
              <w:right w:w="100" w:type="dxa"/>
            </w:tcMar>
          </w:tcPr>
          <w:p w14:paraId="4F530EF2" w14:textId="6EE884F6" w:rsidR="00DE1F12" w:rsidRPr="00D93BF7" w:rsidRDefault="00DE1F12" w:rsidP="00DA2231">
            <w:pPr>
              <w:rPr>
                <w:sz w:val="20"/>
                <w:szCs w:val="20"/>
              </w:rPr>
            </w:pPr>
            <w:r w:rsidRPr="00AF2492">
              <w:rPr>
                <w:sz w:val="20"/>
                <w:szCs w:val="20"/>
              </w:rPr>
              <w:t xml:space="preserve">As 2018 was the first year of GLDC, the work started in March/April and the milestone was planned to be completed only in 2019 </w:t>
            </w:r>
          </w:p>
        </w:tc>
      </w:tr>
      <w:tr w:rsidR="00DE1F12" w:rsidRPr="00D93BF7" w14:paraId="26618BA8" w14:textId="77777777" w:rsidTr="00CB5095">
        <w:trPr>
          <w:trHeight w:val="1080"/>
        </w:trPr>
        <w:tc>
          <w:tcPr>
            <w:tcW w:w="397" w:type="pct"/>
            <w:shd w:val="clear" w:color="auto" w:fill="auto"/>
            <w:tcMar>
              <w:top w:w="100" w:type="dxa"/>
              <w:left w:w="100" w:type="dxa"/>
              <w:bottom w:w="100" w:type="dxa"/>
              <w:right w:w="100" w:type="dxa"/>
            </w:tcMar>
          </w:tcPr>
          <w:p w14:paraId="75742B1D" w14:textId="0069A19C" w:rsidR="00DE1F12" w:rsidRDefault="00DE1F12" w:rsidP="00DE1F12">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04A6F5DE" w14:textId="5FCB9BD5" w:rsidR="00DE1F12" w:rsidRPr="00D93BF7" w:rsidRDefault="00DE1F12" w:rsidP="00DE1F12">
            <w:pPr>
              <w:ind w:right="100"/>
              <w:jc w:val="center"/>
              <w:rPr>
                <w:sz w:val="20"/>
                <w:szCs w:val="20"/>
              </w:rPr>
            </w:pPr>
            <w:r>
              <w:rPr>
                <w:rFonts w:ascii="Calibri" w:hAnsi="Calibri" w:cs="Calibri"/>
                <w:color w:val="000000"/>
                <w:sz w:val="18"/>
                <w:szCs w:val="18"/>
              </w:rPr>
              <w:t>Outcome 4. Strong project design, execution, monitoring and evaluation systems and tools consistently applied in GLDC scaling projects, with demonstrable progress on enhanced adoption and impact</w:t>
            </w:r>
          </w:p>
        </w:tc>
        <w:tc>
          <w:tcPr>
            <w:tcW w:w="743" w:type="pct"/>
            <w:shd w:val="clear" w:color="auto" w:fill="auto"/>
            <w:tcMar>
              <w:top w:w="100" w:type="dxa"/>
              <w:left w:w="100" w:type="dxa"/>
              <w:bottom w:w="100" w:type="dxa"/>
              <w:right w:w="100" w:type="dxa"/>
            </w:tcMar>
          </w:tcPr>
          <w:p w14:paraId="143302B8" w14:textId="50C83495" w:rsidR="00DE1F12" w:rsidRPr="00D93BF7" w:rsidRDefault="00DE1F12" w:rsidP="00DE1F12">
            <w:pPr>
              <w:ind w:right="100"/>
              <w:jc w:val="center"/>
              <w:rPr>
                <w:sz w:val="20"/>
                <w:szCs w:val="20"/>
                <w:highlight w:val="white"/>
              </w:rPr>
            </w:pPr>
            <w:r>
              <w:rPr>
                <w:sz w:val="20"/>
                <w:szCs w:val="20"/>
                <w:highlight w:val="white"/>
              </w:rPr>
              <w:t xml:space="preserve">By identifying successful approaches to technology scaling and the underlying institutional and policy contexts, the ongoing review of scaling approaches and impact evaluations is generating useful lessons for increased technology adoption and impact   </w:t>
            </w:r>
          </w:p>
        </w:tc>
        <w:tc>
          <w:tcPr>
            <w:tcW w:w="529" w:type="pct"/>
            <w:shd w:val="clear" w:color="auto" w:fill="auto"/>
            <w:tcMar>
              <w:top w:w="100" w:type="dxa"/>
              <w:left w:w="100" w:type="dxa"/>
              <w:bottom w:w="100" w:type="dxa"/>
              <w:right w:w="100" w:type="dxa"/>
            </w:tcMar>
          </w:tcPr>
          <w:p w14:paraId="03FC01BF" w14:textId="2FE55110" w:rsidR="00DE1F12" w:rsidRPr="00D93BF7" w:rsidRDefault="00DE1F12" w:rsidP="00DE1F12">
            <w:pPr>
              <w:ind w:right="100"/>
              <w:jc w:val="center"/>
              <w:rPr>
                <w:sz w:val="20"/>
                <w:szCs w:val="20"/>
              </w:rPr>
            </w:pPr>
            <w:r>
              <w:rPr>
                <w:rFonts w:ascii="Calibri" w:hAnsi="Calibri" w:cs="Calibri"/>
                <w:color w:val="000000"/>
                <w:sz w:val="18"/>
                <w:szCs w:val="18"/>
              </w:rPr>
              <w:t>Evaluation designed and implementation underway to evaluate current GLDC scaling approaches &amp; associated impact evidence</w:t>
            </w:r>
          </w:p>
        </w:tc>
        <w:tc>
          <w:tcPr>
            <w:tcW w:w="661" w:type="pct"/>
            <w:shd w:val="clear" w:color="auto" w:fill="auto"/>
            <w:tcMar>
              <w:top w:w="100" w:type="dxa"/>
              <w:left w:w="100" w:type="dxa"/>
              <w:bottom w:w="100" w:type="dxa"/>
              <w:right w:w="100" w:type="dxa"/>
            </w:tcMar>
          </w:tcPr>
          <w:p w14:paraId="75DBB900" w14:textId="194E7ACE" w:rsidR="00DE1F12" w:rsidRPr="00D93BF7" w:rsidRDefault="00DE1F12" w:rsidP="00DE1F12">
            <w:pPr>
              <w:jc w:val="center"/>
              <w:rPr>
                <w:sz w:val="20"/>
                <w:szCs w:val="20"/>
              </w:rPr>
            </w:pPr>
            <w:r>
              <w:rPr>
                <w:sz w:val="20"/>
                <w:szCs w:val="20"/>
              </w:rPr>
              <w:t>Extended</w:t>
            </w:r>
          </w:p>
        </w:tc>
        <w:tc>
          <w:tcPr>
            <w:tcW w:w="1081" w:type="pct"/>
          </w:tcPr>
          <w:p w14:paraId="0955332F" w14:textId="0FD7F530" w:rsidR="00DE1F12" w:rsidRPr="00D93BF7" w:rsidRDefault="00DE1F12" w:rsidP="00DE1F12">
            <w:pPr>
              <w:rPr>
                <w:sz w:val="20"/>
                <w:szCs w:val="20"/>
              </w:rPr>
            </w:pPr>
            <w:r w:rsidRPr="00997612">
              <w:rPr>
                <w:sz w:val="20"/>
                <w:szCs w:val="20"/>
              </w:rPr>
              <w:t>Ongoing work</w:t>
            </w:r>
          </w:p>
        </w:tc>
        <w:tc>
          <w:tcPr>
            <w:tcW w:w="1081" w:type="pct"/>
            <w:shd w:val="clear" w:color="auto" w:fill="auto"/>
            <w:tcMar>
              <w:top w:w="100" w:type="dxa"/>
              <w:left w:w="100" w:type="dxa"/>
              <w:bottom w:w="100" w:type="dxa"/>
              <w:right w:w="100" w:type="dxa"/>
            </w:tcMar>
          </w:tcPr>
          <w:p w14:paraId="2499410E" w14:textId="6941CDBF" w:rsidR="00DE1F12" w:rsidRPr="00D93BF7" w:rsidRDefault="00DE1F12" w:rsidP="00DA2231">
            <w:pPr>
              <w:rPr>
                <w:sz w:val="20"/>
                <w:szCs w:val="20"/>
              </w:rPr>
            </w:pPr>
            <w:r w:rsidRPr="00AF2492">
              <w:rPr>
                <w:sz w:val="20"/>
                <w:szCs w:val="20"/>
              </w:rPr>
              <w:t xml:space="preserve">As 2018 was the first year of GLDC, the work started in March/April and the milestone was planned to be completed only in 2019 </w:t>
            </w:r>
          </w:p>
        </w:tc>
      </w:tr>
      <w:tr w:rsidR="00DE1F12" w:rsidRPr="00D93BF7" w14:paraId="1A0E5A50" w14:textId="77777777" w:rsidTr="00CB5095">
        <w:trPr>
          <w:trHeight w:val="1080"/>
        </w:trPr>
        <w:tc>
          <w:tcPr>
            <w:tcW w:w="397" w:type="pct"/>
            <w:shd w:val="clear" w:color="auto" w:fill="auto"/>
            <w:tcMar>
              <w:top w:w="100" w:type="dxa"/>
              <w:left w:w="100" w:type="dxa"/>
              <w:bottom w:w="100" w:type="dxa"/>
              <w:right w:w="100" w:type="dxa"/>
            </w:tcMar>
          </w:tcPr>
          <w:p w14:paraId="392FCD3D" w14:textId="6F698442" w:rsidR="00DE1F12" w:rsidRDefault="00DE1F12" w:rsidP="00DE1F12">
            <w:pPr>
              <w:rPr>
                <w:sz w:val="20"/>
                <w:szCs w:val="20"/>
              </w:rPr>
            </w:pPr>
            <w:r>
              <w:rPr>
                <w:sz w:val="20"/>
                <w:szCs w:val="20"/>
              </w:rPr>
              <w:t>1</w:t>
            </w:r>
          </w:p>
        </w:tc>
        <w:tc>
          <w:tcPr>
            <w:tcW w:w="507" w:type="pct"/>
            <w:shd w:val="clear" w:color="auto" w:fill="auto"/>
            <w:tcMar>
              <w:top w:w="100" w:type="dxa"/>
              <w:left w:w="100" w:type="dxa"/>
              <w:bottom w:w="100" w:type="dxa"/>
              <w:right w:w="100" w:type="dxa"/>
            </w:tcMar>
          </w:tcPr>
          <w:p w14:paraId="79E17918" w14:textId="21261F16" w:rsidR="00DE1F12" w:rsidRPr="00D93BF7" w:rsidRDefault="00DE1F12" w:rsidP="00DE1F12">
            <w:pPr>
              <w:ind w:right="100"/>
              <w:jc w:val="center"/>
              <w:rPr>
                <w:sz w:val="20"/>
                <w:szCs w:val="20"/>
              </w:rPr>
            </w:pPr>
            <w:r>
              <w:rPr>
                <w:rFonts w:ascii="Calibri" w:hAnsi="Calibri" w:cs="Calibri"/>
                <w:color w:val="000000"/>
                <w:sz w:val="18"/>
                <w:szCs w:val="18"/>
              </w:rPr>
              <w:t xml:space="preserve">Outcome 4. Strong project design, execution, monitoring and evaluation systems and tools consistently applied in GLDC scaling projects, with demonstrable progress on enhanced </w:t>
            </w:r>
            <w:r>
              <w:rPr>
                <w:rFonts w:ascii="Calibri" w:hAnsi="Calibri" w:cs="Calibri"/>
                <w:color w:val="000000"/>
                <w:sz w:val="18"/>
                <w:szCs w:val="18"/>
              </w:rPr>
              <w:lastRenderedPageBreak/>
              <w:t>adoption and impact</w:t>
            </w:r>
          </w:p>
        </w:tc>
        <w:tc>
          <w:tcPr>
            <w:tcW w:w="743" w:type="pct"/>
            <w:shd w:val="clear" w:color="auto" w:fill="auto"/>
            <w:tcMar>
              <w:top w:w="100" w:type="dxa"/>
              <w:left w:w="100" w:type="dxa"/>
              <w:bottom w:w="100" w:type="dxa"/>
              <w:right w:w="100" w:type="dxa"/>
            </w:tcMar>
          </w:tcPr>
          <w:p w14:paraId="59EF890D" w14:textId="2B96163E" w:rsidR="00DE1F12" w:rsidRPr="00D93BF7" w:rsidRDefault="00DE1F12" w:rsidP="00DE1F12">
            <w:pPr>
              <w:ind w:right="100"/>
              <w:jc w:val="center"/>
              <w:rPr>
                <w:sz w:val="20"/>
                <w:szCs w:val="20"/>
                <w:highlight w:val="white"/>
              </w:rPr>
            </w:pPr>
            <w:r>
              <w:rPr>
                <w:sz w:val="20"/>
                <w:szCs w:val="20"/>
                <w:highlight w:val="white"/>
              </w:rPr>
              <w:lastRenderedPageBreak/>
              <w:t xml:space="preserve">By identifying successful approaches to technology scaling and the underlying institutional and policy contexts, the ongoing review of scaling approaches and impact evaluations is generating useful lessons for increased technology adoption and impact   </w:t>
            </w:r>
          </w:p>
        </w:tc>
        <w:tc>
          <w:tcPr>
            <w:tcW w:w="529" w:type="pct"/>
            <w:shd w:val="clear" w:color="auto" w:fill="auto"/>
            <w:tcMar>
              <w:top w:w="100" w:type="dxa"/>
              <w:left w:w="100" w:type="dxa"/>
              <w:bottom w:w="100" w:type="dxa"/>
              <w:right w:w="100" w:type="dxa"/>
            </w:tcMar>
          </w:tcPr>
          <w:p w14:paraId="556990F6" w14:textId="5C57A133" w:rsidR="00DE1F12" w:rsidRPr="00D93BF7" w:rsidRDefault="00DE1F12" w:rsidP="00DE1F12">
            <w:pPr>
              <w:ind w:right="100"/>
              <w:jc w:val="center"/>
              <w:rPr>
                <w:sz w:val="20"/>
                <w:szCs w:val="20"/>
              </w:rPr>
            </w:pPr>
            <w:r>
              <w:rPr>
                <w:rFonts w:ascii="Calibri" w:hAnsi="Calibri" w:cs="Calibri"/>
                <w:color w:val="000000"/>
                <w:sz w:val="18"/>
                <w:szCs w:val="18"/>
              </w:rPr>
              <w:t>Scaling toolkit for Design, Execution, Monitoring, and Eval</w:t>
            </w:r>
            <w:r w:rsidR="00482289">
              <w:rPr>
                <w:rFonts w:ascii="Calibri" w:hAnsi="Calibri" w:cs="Calibri"/>
                <w:color w:val="000000"/>
                <w:sz w:val="18"/>
                <w:szCs w:val="18"/>
              </w:rPr>
              <w:t>u</w:t>
            </w:r>
            <w:r>
              <w:rPr>
                <w:rFonts w:ascii="Calibri" w:hAnsi="Calibri" w:cs="Calibri"/>
                <w:color w:val="000000"/>
                <w:sz w:val="18"/>
                <w:szCs w:val="18"/>
              </w:rPr>
              <w:t xml:space="preserve">ation (DEME) content agreed to support improved horizontal and vertical scaling of GLDC commodities and management practices </w:t>
            </w:r>
          </w:p>
        </w:tc>
        <w:tc>
          <w:tcPr>
            <w:tcW w:w="661" w:type="pct"/>
            <w:shd w:val="clear" w:color="auto" w:fill="auto"/>
            <w:tcMar>
              <w:top w:w="100" w:type="dxa"/>
              <w:left w:w="100" w:type="dxa"/>
              <w:bottom w:w="100" w:type="dxa"/>
              <w:right w:w="100" w:type="dxa"/>
            </w:tcMar>
          </w:tcPr>
          <w:p w14:paraId="4DEB1405" w14:textId="72C9E489" w:rsidR="00DE1F12" w:rsidRPr="00D93BF7" w:rsidRDefault="00DE1F12" w:rsidP="00DE1F12">
            <w:pPr>
              <w:jc w:val="center"/>
              <w:rPr>
                <w:sz w:val="20"/>
                <w:szCs w:val="20"/>
              </w:rPr>
            </w:pPr>
            <w:r>
              <w:rPr>
                <w:sz w:val="20"/>
                <w:szCs w:val="20"/>
              </w:rPr>
              <w:t>Extended</w:t>
            </w:r>
          </w:p>
        </w:tc>
        <w:tc>
          <w:tcPr>
            <w:tcW w:w="1081" w:type="pct"/>
          </w:tcPr>
          <w:p w14:paraId="4E6BD7CF" w14:textId="6AE5F6C5" w:rsidR="00DE1F12" w:rsidRPr="00D93BF7" w:rsidRDefault="00DE1F12" w:rsidP="00DE1F12">
            <w:pPr>
              <w:rPr>
                <w:sz w:val="20"/>
                <w:szCs w:val="20"/>
              </w:rPr>
            </w:pPr>
            <w:r w:rsidRPr="00997612">
              <w:rPr>
                <w:sz w:val="20"/>
                <w:szCs w:val="20"/>
              </w:rPr>
              <w:t>Ongoing work</w:t>
            </w:r>
          </w:p>
        </w:tc>
        <w:tc>
          <w:tcPr>
            <w:tcW w:w="1081" w:type="pct"/>
            <w:shd w:val="clear" w:color="auto" w:fill="auto"/>
            <w:tcMar>
              <w:top w:w="100" w:type="dxa"/>
              <w:left w:w="100" w:type="dxa"/>
              <w:bottom w:w="100" w:type="dxa"/>
              <w:right w:w="100" w:type="dxa"/>
            </w:tcMar>
          </w:tcPr>
          <w:p w14:paraId="1A4311CB" w14:textId="1C7F064F" w:rsidR="00DE1F12" w:rsidRPr="00D93BF7" w:rsidRDefault="00DE1F12" w:rsidP="00DA2231">
            <w:pPr>
              <w:rPr>
                <w:sz w:val="20"/>
                <w:szCs w:val="20"/>
              </w:rPr>
            </w:pPr>
            <w:r w:rsidRPr="00AF2492">
              <w:rPr>
                <w:sz w:val="20"/>
                <w:szCs w:val="20"/>
              </w:rPr>
              <w:t xml:space="preserve">As 2018 was the first year of GLDC, the work started in March/April and the milestone was planned to be completed only in 2019 </w:t>
            </w:r>
          </w:p>
        </w:tc>
      </w:tr>
    </w:tbl>
    <w:p w14:paraId="286609C8" w14:textId="77777777" w:rsidR="002C0A23" w:rsidRDefault="002C0A23" w:rsidP="002C0A23"/>
    <w:p w14:paraId="6D9205F6" w14:textId="77777777" w:rsidR="002C0A23" w:rsidRDefault="002C0A23" w:rsidP="002C0A23"/>
    <w:p w14:paraId="15FB9313" w14:textId="77777777" w:rsidR="002C0A23" w:rsidRDefault="002C0A23" w:rsidP="002C0A23"/>
    <w:p w14:paraId="6F45F82C" w14:textId="77777777" w:rsidR="002C0A23" w:rsidRDefault="002C0A23" w:rsidP="002C0A23"/>
    <w:p w14:paraId="6A4E99A2" w14:textId="77777777" w:rsidR="002C0A23" w:rsidRDefault="002C0A23" w:rsidP="002C0A23"/>
    <w:p w14:paraId="31501F17" w14:textId="77777777" w:rsidR="00024276" w:rsidRDefault="00024276" w:rsidP="002C0A23">
      <w:pPr>
        <w:jc w:val="both"/>
      </w:pPr>
    </w:p>
    <w:sectPr w:rsidR="00024276" w:rsidSect="006E40C8">
      <w:headerReference w:type="default" r:id="rId10"/>
      <w:footerReference w:type="default" r:id="rId11"/>
      <w:headerReference w:type="firs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90DB" w14:textId="77777777" w:rsidR="00CA3A9D" w:rsidRDefault="00CA3A9D">
      <w:r>
        <w:separator/>
      </w:r>
    </w:p>
  </w:endnote>
  <w:endnote w:type="continuationSeparator" w:id="0">
    <w:p w14:paraId="602E5F82" w14:textId="77777777" w:rsidR="00CA3A9D" w:rsidRDefault="00CA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B349" w14:textId="77777777" w:rsidR="008646FE" w:rsidRDefault="008646FE" w:rsidP="008646FE">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77777777" w:rsidR="008646FE" w:rsidRDefault="008646FE" w:rsidP="008646FE">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E6A3" w14:textId="77777777" w:rsidR="00CA3A9D" w:rsidRDefault="00CA3A9D">
      <w:r>
        <w:separator/>
      </w:r>
    </w:p>
  </w:footnote>
  <w:footnote w:type="continuationSeparator" w:id="0">
    <w:p w14:paraId="6C31A2C7" w14:textId="77777777" w:rsidR="00CA3A9D" w:rsidRDefault="00CA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BA2F" w14:textId="77777777" w:rsidR="008646FE" w:rsidRPr="00967AF7" w:rsidRDefault="008646FE" w:rsidP="00864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5557" w14:textId="77777777" w:rsidR="008646FE" w:rsidRDefault="00864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10" w14:textId="77777777" w:rsidR="008646FE" w:rsidRPr="00967AF7" w:rsidRDefault="008646FE" w:rsidP="00864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4F63" w14:textId="77777777" w:rsidR="008646FE" w:rsidRDefault="0086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2BBB2"/>
    <w:multiLevelType w:val="hybridMultilevel"/>
    <w:tmpl w:val="90215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0115A3"/>
    <w:multiLevelType w:val="hybridMultilevel"/>
    <w:tmpl w:val="99667604"/>
    <w:lvl w:ilvl="0" w:tplc="E99CAA96">
      <w:start w:val="1"/>
      <w:numFmt w:val="bullet"/>
      <w:lvlText w:val=""/>
      <w:lvlJc w:val="left"/>
      <w:pPr>
        <w:tabs>
          <w:tab w:val="num" w:pos="720"/>
        </w:tabs>
        <w:ind w:left="720" w:hanging="360"/>
      </w:pPr>
      <w:rPr>
        <w:rFonts w:ascii="Wingdings" w:hAnsi="Wingdings" w:hint="default"/>
      </w:rPr>
    </w:lvl>
    <w:lvl w:ilvl="1" w:tplc="C0C4A8B2" w:tentative="1">
      <w:start w:val="1"/>
      <w:numFmt w:val="bullet"/>
      <w:lvlText w:val=""/>
      <w:lvlJc w:val="left"/>
      <w:pPr>
        <w:tabs>
          <w:tab w:val="num" w:pos="1440"/>
        </w:tabs>
        <w:ind w:left="1440" w:hanging="360"/>
      </w:pPr>
      <w:rPr>
        <w:rFonts w:ascii="Wingdings" w:hAnsi="Wingdings" w:hint="default"/>
      </w:rPr>
    </w:lvl>
    <w:lvl w:ilvl="2" w:tplc="1EC27EAE" w:tentative="1">
      <w:start w:val="1"/>
      <w:numFmt w:val="bullet"/>
      <w:lvlText w:val=""/>
      <w:lvlJc w:val="left"/>
      <w:pPr>
        <w:tabs>
          <w:tab w:val="num" w:pos="2160"/>
        </w:tabs>
        <w:ind w:left="2160" w:hanging="360"/>
      </w:pPr>
      <w:rPr>
        <w:rFonts w:ascii="Wingdings" w:hAnsi="Wingdings" w:hint="default"/>
      </w:rPr>
    </w:lvl>
    <w:lvl w:ilvl="3" w:tplc="73F6418C" w:tentative="1">
      <w:start w:val="1"/>
      <w:numFmt w:val="bullet"/>
      <w:lvlText w:val=""/>
      <w:lvlJc w:val="left"/>
      <w:pPr>
        <w:tabs>
          <w:tab w:val="num" w:pos="2880"/>
        </w:tabs>
        <w:ind w:left="2880" w:hanging="360"/>
      </w:pPr>
      <w:rPr>
        <w:rFonts w:ascii="Wingdings" w:hAnsi="Wingdings" w:hint="default"/>
      </w:rPr>
    </w:lvl>
    <w:lvl w:ilvl="4" w:tplc="1E3C3892" w:tentative="1">
      <w:start w:val="1"/>
      <w:numFmt w:val="bullet"/>
      <w:lvlText w:val=""/>
      <w:lvlJc w:val="left"/>
      <w:pPr>
        <w:tabs>
          <w:tab w:val="num" w:pos="3600"/>
        </w:tabs>
        <w:ind w:left="3600" w:hanging="360"/>
      </w:pPr>
      <w:rPr>
        <w:rFonts w:ascii="Wingdings" w:hAnsi="Wingdings" w:hint="default"/>
      </w:rPr>
    </w:lvl>
    <w:lvl w:ilvl="5" w:tplc="AE1E3C96" w:tentative="1">
      <w:start w:val="1"/>
      <w:numFmt w:val="bullet"/>
      <w:lvlText w:val=""/>
      <w:lvlJc w:val="left"/>
      <w:pPr>
        <w:tabs>
          <w:tab w:val="num" w:pos="4320"/>
        </w:tabs>
        <w:ind w:left="4320" w:hanging="360"/>
      </w:pPr>
      <w:rPr>
        <w:rFonts w:ascii="Wingdings" w:hAnsi="Wingdings" w:hint="default"/>
      </w:rPr>
    </w:lvl>
    <w:lvl w:ilvl="6" w:tplc="B85E9D00" w:tentative="1">
      <w:start w:val="1"/>
      <w:numFmt w:val="bullet"/>
      <w:lvlText w:val=""/>
      <w:lvlJc w:val="left"/>
      <w:pPr>
        <w:tabs>
          <w:tab w:val="num" w:pos="5040"/>
        </w:tabs>
        <w:ind w:left="5040" w:hanging="360"/>
      </w:pPr>
      <w:rPr>
        <w:rFonts w:ascii="Wingdings" w:hAnsi="Wingdings" w:hint="default"/>
      </w:rPr>
    </w:lvl>
    <w:lvl w:ilvl="7" w:tplc="A350B6DE" w:tentative="1">
      <w:start w:val="1"/>
      <w:numFmt w:val="bullet"/>
      <w:lvlText w:val=""/>
      <w:lvlJc w:val="left"/>
      <w:pPr>
        <w:tabs>
          <w:tab w:val="num" w:pos="5760"/>
        </w:tabs>
        <w:ind w:left="5760" w:hanging="360"/>
      </w:pPr>
      <w:rPr>
        <w:rFonts w:ascii="Wingdings" w:hAnsi="Wingdings" w:hint="default"/>
      </w:rPr>
    </w:lvl>
    <w:lvl w:ilvl="8" w:tplc="FC1ED5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C52EB6"/>
    <w:multiLevelType w:val="hybridMultilevel"/>
    <w:tmpl w:val="3D8C76DA"/>
    <w:lvl w:ilvl="0" w:tplc="E3F4AD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0FE1D58"/>
    <w:multiLevelType w:val="hybridMultilevel"/>
    <w:tmpl w:val="A8265C44"/>
    <w:lvl w:ilvl="0" w:tplc="FB860AE8">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24276"/>
    <w:rsid w:val="00036BBC"/>
    <w:rsid w:val="00062976"/>
    <w:rsid w:val="00064EE7"/>
    <w:rsid w:val="0007393E"/>
    <w:rsid w:val="000A608A"/>
    <w:rsid w:val="000E25DA"/>
    <w:rsid w:val="000F3686"/>
    <w:rsid w:val="00100957"/>
    <w:rsid w:val="00115B4D"/>
    <w:rsid w:val="00134D44"/>
    <w:rsid w:val="00136E5A"/>
    <w:rsid w:val="001417BC"/>
    <w:rsid w:val="00165E2A"/>
    <w:rsid w:val="0016709B"/>
    <w:rsid w:val="001A475A"/>
    <w:rsid w:val="001B3C2E"/>
    <w:rsid w:val="001C1D91"/>
    <w:rsid w:val="001E3921"/>
    <w:rsid w:val="00240A3A"/>
    <w:rsid w:val="00250962"/>
    <w:rsid w:val="00266B40"/>
    <w:rsid w:val="00273F8E"/>
    <w:rsid w:val="00275DC6"/>
    <w:rsid w:val="0028711C"/>
    <w:rsid w:val="002B0A39"/>
    <w:rsid w:val="002B4570"/>
    <w:rsid w:val="002B7866"/>
    <w:rsid w:val="002C0A23"/>
    <w:rsid w:val="002C5E3D"/>
    <w:rsid w:val="002D63B9"/>
    <w:rsid w:val="002E1A88"/>
    <w:rsid w:val="002E514A"/>
    <w:rsid w:val="002E55A2"/>
    <w:rsid w:val="00335ACB"/>
    <w:rsid w:val="00357A28"/>
    <w:rsid w:val="003A46CC"/>
    <w:rsid w:val="003E675C"/>
    <w:rsid w:val="00410E7D"/>
    <w:rsid w:val="00424AB1"/>
    <w:rsid w:val="00482289"/>
    <w:rsid w:val="00486241"/>
    <w:rsid w:val="00496862"/>
    <w:rsid w:val="004A57B1"/>
    <w:rsid w:val="004B2D3E"/>
    <w:rsid w:val="00503EE9"/>
    <w:rsid w:val="00505983"/>
    <w:rsid w:val="00517ED7"/>
    <w:rsid w:val="00547E46"/>
    <w:rsid w:val="005655F1"/>
    <w:rsid w:val="005940F2"/>
    <w:rsid w:val="00597981"/>
    <w:rsid w:val="005B7E5F"/>
    <w:rsid w:val="00641561"/>
    <w:rsid w:val="00676B61"/>
    <w:rsid w:val="006803C3"/>
    <w:rsid w:val="006B6160"/>
    <w:rsid w:val="006B6751"/>
    <w:rsid w:val="006E40C8"/>
    <w:rsid w:val="00702B07"/>
    <w:rsid w:val="00704A3B"/>
    <w:rsid w:val="00725726"/>
    <w:rsid w:val="00757ABE"/>
    <w:rsid w:val="00774927"/>
    <w:rsid w:val="007758D8"/>
    <w:rsid w:val="007774AD"/>
    <w:rsid w:val="00780016"/>
    <w:rsid w:val="00793CD0"/>
    <w:rsid w:val="007A438B"/>
    <w:rsid w:val="007C0503"/>
    <w:rsid w:val="007C1FDA"/>
    <w:rsid w:val="007D20A6"/>
    <w:rsid w:val="007D75E5"/>
    <w:rsid w:val="007F5941"/>
    <w:rsid w:val="007F612B"/>
    <w:rsid w:val="00805259"/>
    <w:rsid w:val="00821EB1"/>
    <w:rsid w:val="008646FE"/>
    <w:rsid w:val="00872A97"/>
    <w:rsid w:val="008A2802"/>
    <w:rsid w:val="008B0B75"/>
    <w:rsid w:val="008E0EB6"/>
    <w:rsid w:val="0092457B"/>
    <w:rsid w:val="0094496E"/>
    <w:rsid w:val="0099005D"/>
    <w:rsid w:val="009A6FBB"/>
    <w:rsid w:val="009B7099"/>
    <w:rsid w:val="00A008C3"/>
    <w:rsid w:val="00A1371D"/>
    <w:rsid w:val="00A235FD"/>
    <w:rsid w:val="00A40048"/>
    <w:rsid w:val="00AD0586"/>
    <w:rsid w:val="00B10757"/>
    <w:rsid w:val="00B25416"/>
    <w:rsid w:val="00B52284"/>
    <w:rsid w:val="00B56C1A"/>
    <w:rsid w:val="00B66D3D"/>
    <w:rsid w:val="00B82A51"/>
    <w:rsid w:val="00BB2C6A"/>
    <w:rsid w:val="00BD10D9"/>
    <w:rsid w:val="00C02089"/>
    <w:rsid w:val="00C10B99"/>
    <w:rsid w:val="00C17568"/>
    <w:rsid w:val="00C56180"/>
    <w:rsid w:val="00CA3A9D"/>
    <w:rsid w:val="00CA3D16"/>
    <w:rsid w:val="00CB5095"/>
    <w:rsid w:val="00CD1CAD"/>
    <w:rsid w:val="00D525DB"/>
    <w:rsid w:val="00D66D98"/>
    <w:rsid w:val="00D74EE1"/>
    <w:rsid w:val="00DA2231"/>
    <w:rsid w:val="00DB3BBE"/>
    <w:rsid w:val="00DC0616"/>
    <w:rsid w:val="00DE1F12"/>
    <w:rsid w:val="00DE530C"/>
    <w:rsid w:val="00E11002"/>
    <w:rsid w:val="00E63EF4"/>
    <w:rsid w:val="00E81CC5"/>
    <w:rsid w:val="00EB09E7"/>
    <w:rsid w:val="00ED643F"/>
    <w:rsid w:val="00EE3829"/>
    <w:rsid w:val="00EE53B6"/>
    <w:rsid w:val="00F10169"/>
    <w:rsid w:val="00F733FC"/>
    <w:rsid w:val="00F9749B"/>
    <w:rsid w:val="00FC44EC"/>
    <w:rsid w:val="00FD4211"/>
    <w:rsid w:val="00FD5928"/>
    <w:rsid w:val="00FD7272"/>
    <w:rsid w:val="00FF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chartTrackingRefBased/>
  <w15:docId w15:val="{C9711B42-17FA-5449-A2B2-BC922D4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customStyle="1" w:styleId="Default">
    <w:name w:val="Default"/>
    <w:rsid w:val="00517ED7"/>
    <w:pPr>
      <w:autoSpaceDE w:val="0"/>
      <w:autoSpaceDN w:val="0"/>
      <w:adjustRightInd w:val="0"/>
    </w:pPr>
    <w:rPr>
      <w:rFonts w:ascii="Calibri" w:hAnsi="Calibri" w:cs="Calibri"/>
      <w:color w:val="000000"/>
    </w:rPr>
  </w:style>
  <w:style w:type="paragraph" w:customStyle="1" w:styleId="bulletlist">
    <w:name w:val="bullet list"/>
    <w:basedOn w:val="Normal"/>
    <w:rsid w:val="00A008C3"/>
    <w:pPr>
      <w:numPr>
        <w:numId w:val="1"/>
      </w:numPr>
      <w:spacing w:after="120"/>
      <w:ind w:left="720" w:firstLine="0"/>
      <w:contextualSpacing/>
      <w:jc w:val="both"/>
    </w:pPr>
    <w:rPr>
      <w:rFonts w:ascii="Calibri" w:eastAsiaTheme="minorHAnsi" w:hAnsi="Calibri" w:cs="Calibri"/>
      <w:color w:val="000000"/>
      <w:sz w:val="22"/>
      <w:szCs w:val="22"/>
    </w:rPr>
  </w:style>
  <w:style w:type="paragraph" w:styleId="NormalWeb">
    <w:name w:val="Normal (Web)"/>
    <w:basedOn w:val="Normal"/>
    <w:uiPriority w:val="99"/>
    <w:semiHidden/>
    <w:unhideWhenUsed/>
    <w:rsid w:val="002B4570"/>
    <w:pPr>
      <w:spacing w:before="100" w:beforeAutospacing="1" w:after="100" w:afterAutospacing="1"/>
    </w:pPr>
  </w:style>
  <w:style w:type="character" w:styleId="Emphasis">
    <w:name w:val="Emphasis"/>
    <w:basedOn w:val="DefaultParagraphFont"/>
    <w:uiPriority w:val="20"/>
    <w:qFormat/>
    <w:rsid w:val="0016709B"/>
    <w:rPr>
      <w:i/>
      <w:iCs/>
    </w:rPr>
  </w:style>
  <w:style w:type="paragraph" w:styleId="ListParagraph">
    <w:name w:val="List Paragraph"/>
    <w:basedOn w:val="Normal"/>
    <w:uiPriority w:val="34"/>
    <w:qFormat/>
    <w:rsid w:val="007D20A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8202">
      <w:bodyDiv w:val="1"/>
      <w:marLeft w:val="0"/>
      <w:marRight w:val="0"/>
      <w:marTop w:val="0"/>
      <w:marBottom w:val="0"/>
      <w:divBdr>
        <w:top w:val="none" w:sz="0" w:space="0" w:color="auto"/>
        <w:left w:val="none" w:sz="0" w:space="0" w:color="auto"/>
        <w:bottom w:val="none" w:sz="0" w:space="0" w:color="auto"/>
        <w:right w:val="none" w:sz="0" w:space="0" w:color="auto"/>
      </w:divBdr>
    </w:div>
    <w:div w:id="56560370">
      <w:bodyDiv w:val="1"/>
      <w:marLeft w:val="0"/>
      <w:marRight w:val="0"/>
      <w:marTop w:val="0"/>
      <w:marBottom w:val="0"/>
      <w:divBdr>
        <w:top w:val="none" w:sz="0" w:space="0" w:color="auto"/>
        <w:left w:val="none" w:sz="0" w:space="0" w:color="auto"/>
        <w:bottom w:val="none" w:sz="0" w:space="0" w:color="auto"/>
        <w:right w:val="none" w:sz="0" w:space="0" w:color="auto"/>
      </w:divBdr>
    </w:div>
    <w:div w:id="88475585">
      <w:bodyDiv w:val="1"/>
      <w:marLeft w:val="0"/>
      <w:marRight w:val="0"/>
      <w:marTop w:val="0"/>
      <w:marBottom w:val="0"/>
      <w:divBdr>
        <w:top w:val="none" w:sz="0" w:space="0" w:color="auto"/>
        <w:left w:val="none" w:sz="0" w:space="0" w:color="auto"/>
        <w:bottom w:val="none" w:sz="0" w:space="0" w:color="auto"/>
        <w:right w:val="none" w:sz="0" w:space="0" w:color="auto"/>
      </w:divBdr>
      <w:divsChild>
        <w:div w:id="1114209742">
          <w:marLeft w:val="547"/>
          <w:marRight w:val="0"/>
          <w:marTop w:val="0"/>
          <w:marBottom w:val="0"/>
          <w:divBdr>
            <w:top w:val="none" w:sz="0" w:space="0" w:color="auto"/>
            <w:left w:val="none" w:sz="0" w:space="0" w:color="auto"/>
            <w:bottom w:val="none" w:sz="0" w:space="0" w:color="auto"/>
            <w:right w:val="none" w:sz="0" w:space="0" w:color="auto"/>
          </w:divBdr>
        </w:div>
      </w:divsChild>
    </w:div>
    <w:div w:id="376852926">
      <w:bodyDiv w:val="1"/>
      <w:marLeft w:val="0"/>
      <w:marRight w:val="0"/>
      <w:marTop w:val="0"/>
      <w:marBottom w:val="0"/>
      <w:divBdr>
        <w:top w:val="none" w:sz="0" w:space="0" w:color="auto"/>
        <w:left w:val="none" w:sz="0" w:space="0" w:color="auto"/>
        <w:bottom w:val="none" w:sz="0" w:space="0" w:color="auto"/>
        <w:right w:val="none" w:sz="0" w:space="0" w:color="auto"/>
      </w:divBdr>
    </w:div>
    <w:div w:id="455371499">
      <w:bodyDiv w:val="1"/>
      <w:marLeft w:val="0"/>
      <w:marRight w:val="0"/>
      <w:marTop w:val="0"/>
      <w:marBottom w:val="0"/>
      <w:divBdr>
        <w:top w:val="none" w:sz="0" w:space="0" w:color="auto"/>
        <w:left w:val="none" w:sz="0" w:space="0" w:color="auto"/>
        <w:bottom w:val="none" w:sz="0" w:space="0" w:color="auto"/>
        <w:right w:val="none" w:sz="0" w:space="0" w:color="auto"/>
      </w:divBdr>
    </w:div>
    <w:div w:id="654069222">
      <w:bodyDiv w:val="1"/>
      <w:marLeft w:val="0"/>
      <w:marRight w:val="0"/>
      <w:marTop w:val="0"/>
      <w:marBottom w:val="0"/>
      <w:divBdr>
        <w:top w:val="none" w:sz="0" w:space="0" w:color="auto"/>
        <w:left w:val="none" w:sz="0" w:space="0" w:color="auto"/>
        <w:bottom w:val="none" w:sz="0" w:space="0" w:color="auto"/>
        <w:right w:val="none" w:sz="0" w:space="0" w:color="auto"/>
      </w:divBdr>
    </w:div>
    <w:div w:id="864976552">
      <w:bodyDiv w:val="1"/>
      <w:marLeft w:val="0"/>
      <w:marRight w:val="0"/>
      <w:marTop w:val="0"/>
      <w:marBottom w:val="0"/>
      <w:divBdr>
        <w:top w:val="none" w:sz="0" w:space="0" w:color="auto"/>
        <w:left w:val="none" w:sz="0" w:space="0" w:color="auto"/>
        <w:bottom w:val="none" w:sz="0" w:space="0" w:color="auto"/>
        <w:right w:val="none" w:sz="0" w:space="0" w:color="auto"/>
      </w:divBdr>
    </w:div>
    <w:div w:id="1295210930">
      <w:bodyDiv w:val="1"/>
      <w:marLeft w:val="0"/>
      <w:marRight w:val="0"/>
      <w:marTop w:val="0"/>
      <w:marBottom w:val="0"/>
      <w:divBdr>
        <w:top w:val="none" w:sz="0" w:space="0" w:color="auto"/>
        <w:left w:val="none" w:sz="0" w:space="0" w:color="auto"/>
        <w:bottom w:val="none" w:sz="0" w:space="0" w:color="auto"/>
        <w:right w:val="none" w:sz="0" w:space="0" w:color="auto"/>
      </w:divBdr>
    </w:div>
    <w:div w:id="1500846716">
      <w:bodyDiv w:val="1"/>
      <w:marLeft w:val="0"/>
      <w:marRight w:val="0"/>
      <w:marTop w:val="0"/>
      <w:marBottom w:val="0"/>
      <w:divBdr>
        <w:top w:val="none" w:sz="0" w:space="0" w:color="auto"/>
        <w:left w:val="none" w:sz="0" w:space="0" w:color="auto"/>
        <w:bottom w:val="none" w:sz="0" w:space="0" w:color="auto"/>
        <w:right w:val="none" w:sz="0" w:space="0" w:color="auto"/>
      </w:divBdr>
    </w:div>
    <w:div w:id="1592735335">
      <w:bodyDiv w:val="1"/>
      <w:marLeft w:val="0"/>
      <w:marRight w:val="0"/>
      <w:marTop w:val="0"/>
      <w:marBottom w:val="0"/>
      <w:divBdr>
        <w:top w:val="none" w:sz="0" w:space="0" w:color="auto"/>
        <w:left w:val="none" w:sz="0" w:space="0" w:color="auto"/>
        <w:bottom w:val="none" w:sz="0" w:space="0" w:color="auto"/>
        <w:right w:val="none" w:sz="0" w:space="0" w:color="auto"/>
      </w:divBdr>
    </w:div>
    <w:div w:id="1818496831">
      <w:bodyDiv w:val="1"/>
      <w:marLeft w:val="0"/>
      <w:marRight w:val="0"/>
      <w:marTop w:val="0"/>
      <w:marBottom w:val="0"/>
      <w:divBdr>
        <w:top w:val="none" w:sz="0" w:space="0" w:color="auto"/>
        <w:left w:val="none" w:sz="0" w:space="0" w:color="auto"/>
        <w:bottom w:val="none" w:sz="0" w:space="0" w:color="auto"/>
        <w:right w:val="none" w:sz="0" w:space="0" w:color="auto"/>
      </w:divBdr>
    </w:div>
    <w:div w:id="2024629027">
      <w:bodyDiv w:val="1"/>
      <w:marLeft w:val="0"/>
      <w:marRight w:val="0"/>
      <w:marTop w:val="0"/>
      <w:marBottom w:val="0"/>
      <w:divBdr>
        <w:top w:val="none" w:sz="0" w:space="0" w:color="auto"/>
        <w:left w:val="none" w:sz="0" w:space="0" w:color="auto"/>
        <w:bottom w:val="none" w:sz="0" w:space="0" w:color="auto"/>
        <w:right w:val="none" w:sz="0" w:space="0" w:color="auto"/>
      </w:divBdr>
    </w:div>
    <w:div w:id="2042365024">
      <w:bodyDiv w:val="1"/>
      <w:marLeft w:val="0"/>
      <w:marRight w:val="0"/>
      <w:marTop w:val="0"/>
      <w:marBottom w:val="0"/>
      <w:divBdr>
        <w:top w:val="none" w:sz="0" w:space="0" w:color="auto"/>
        <w:left w:val="none" w:sz="0" w:space="0" w:color="auto"/>
        <w:bottom w:val="none" w:sz="0" w:space="0" w:color="auto"/>
        <w:right w:val="none" w:sz="0" w:space="0" w:color="auto"/>
      </w:divBdr>
    </w:div>
    <w:div w:id="2071272310">
      <w:bodyDiv w:val="1"/>
      <w:marLeft w:val="0"/>
      <w:marRight w:val="0"/>
      <w:marTop w:val="0"/>
      <w:marBottom w:val="0"/>
      <w:divBdr>
        <w:top w:val="none" w:sz="0" w:space="0" w:color="auto"/>
        <w:left w:val="none" w:sz="0" w:space="0" w:color="auto"/>
        <w:bottom w:val="none" w:sz="0" w:space="0" w:color="auto"/>
        <w:right w:val="none" w:sz="0" w:space="0" w:color="auto"/>
      </w:divBdr>
    </w:div>
    <w:div w:id="20845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Bonaiuti, Enrico (ICARDA)</dc:creator>
  <cp:keywords/>
  <dc:description/>
  <cp:lastModifiedBy>Arega Alene</cp:lastModifiedBy>
  <cp:revision>69</cp:revision>
  <dcterms:created xsi:type="dcterms:W3CDTF">2019-02-27T19:11:00Z</dcterms:created>
  <dcterms:modified xsi:type="dcterms:W3CDTF">2019-03-10T09:35:00Z</dcterms:modified>
</cp:coreProperties>
</file>